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7BF" w:rsidRPr="000657BF" w:rsidRDefault="000657BF" w:rsidP="000657BF">
      <w:pPr>
        <w:widowControl/>
        <w:shd w:val="clear" w:color="auto" w:fill="FFFFFF"/>
        <w:spacing w:line="400" w:lineRule="atLeast"/>
        <w:jc w:val="center"/>
        <w:rPr>
          <w:rFonts w:ascii="微软雅黑" w:eastAsia="微软雅黑" w:hAnsi="微软雅黑" w:cs="宋体"/>
          <w:b/>
          <w:color w:val="000000"/>
          <w:kern w:val="0"/>
          <w:sz w:val="32"/>
          <w:szCs w:val="32"/>
        </w:rPr>
      </w:pPr>
      <w:r w:rsidRPr="000657BF">
        <w:rPr>
          <w:rFonts w:ascii="宋体" w:eastAsia="宋体" w:hAnsi="宋体" w:cs="宋体" w:hint="eastAsia"/>
          <w:b/>
          <w:color w:val="000000"/>
          <w:spacing w:val="-11"/>
          <w:kern w:val="0"/>
          <w:sz w:val="32"/>
          <w:szCs w:val="32"/>
        </w:rPr>
        <w:t>上海市国资委监管企业核心竞争力评价指引</w:t>
      </w:r>
    </w:p>
    <w:p w:rsidR="000657BF" w:rsidRPr="000657BF" w:rsidRDefault="000657BF" w:rsidP="000657BF">
      <w:pPr>
        <w:widowControl/>
        <w:shd w:val="clear" w:color="auto" w:fill="FFFFFF"/>
        <w:spacing w:line="400" w:lineRule="atLeast"/>
        <w:ind w:firstLine="480"/>
        <w:rPr>
          <w:rFonts w:ascii="微软雅黑" w:eastAsia="微软雅黑" w:hAnsi="微软雅黑" w:cs="宋体" w:hint="eastAsia"/>
          <w:color w:val="000000"/>
          <w:kern w:val="0"/>
          <w:sz w:val="24"/>
          <w:szCs w:val="24"/>
        </w:rPr>
      </w:pPr>
      <w:r w:rsidRPr="000657BF">
        <w:rPr>
          <w:rFonts w:ascii="宋体" w:eastAsia="宋体" w:hAnsi="宋体" w:cs="宋体" w:hint="eastAsia"/>
          <w:color w:val="000000"/>
          <w:kern w:val="0"/>
          <w:sz w:val="24"/>
          <w:szCs w:val="24"/>
        </w:rPr>
        <w:t> </w:t>
      </w:r>
    </w:p>
    <w:p w:rsidR="000657BF" w:rsidRPr="000657BF" w:rsidRDefault="000657BF" w:rsidP="000657BF">
      <w:pPr>
        <w:widowControl/>
        <w:shd w:val="clear" w:color="auto" w:fill="FFFFFF"/>
        <w:spacing w:line="400" w:lineRule="atLeast"/>
        <w:ind w:firstLine="480"/>
        <w:rPr>
          <w:rFonts w:ascii="微软雅黑" w:eastAsia="微软雅黑" w:hAnsi="微软雅黑" w:cs="宋体" w:hint="eastAsia"/>
          <w:color w:val="000000"/>
          <w:kern w:val="0"/>
          <w:sz w:val="24"/>
          <w:szCs w:val="24"/>
        </w:rPr>
      </w:pPr>
      <w:r w:rsidRPr="000657BF">
        <w:rPr>
          <w:rFonts w:ascii="宋体" w:eastAsia="宋体" w:hAnsi="宋体" w:cs="宋体" w:hint="eastAsia"/>
          <w:color w:val="000000"/>
          <w:kern w:val="0"/>
          <w:sz w:val="24"/>
          <w:szCs w:val="24"/>
        </w:rPr>
        <w:t>为深入贯彻落实党的二十届三中全会精神和市委、市政府关于国资国企改革的重要部署，按照《上海市贯彻&lt;国有企业改革深化提升行动方案（2023-2025年）&gt;的实施方案》要求，科学系统评价市国资委监管企业的核心竞争力水平，进一步推动国有资本和国有企业做</w:t>
      </w:r>
      <w:proofErr w:type="gramStart"/>
      <w:r w:rsidRPr="000657BF">
        <w:rPr>
          <w:rFonts w:ascii="宋体" w:eastAsia="宋体" w:hAnsi="宋体" w:cs="宋体" w:hint="eastAsia"/>
          <w:color w:val="000000"/>
          <w:kern w:val="0"/>
          <w:sz w:val="24"/>
          <w:szCs w:val="24"/>
        </w:rPr>
        <w:t>强做</w:t>
      </w:r>
      <w:proofErr w:type="gramEnd"/>
      <w:r w:rsidRPr="000657BF">
        <w:rPr>
          <w:rFonts w:ascii="宋体" w:eastAsia="宋体" w:hAnsi="宋体" w:cs="宋体" w:hint="eastAsia"/>
          <w:color w:val="000000"/>
          <w:kern w:val="0"/>
          <w:sz w:val="24"/>
          <w:szCs w:val="24"/>
        </w:rPr>
        <w:t>优做大，在广泛吸收借鉴有关标准和理论研究基础上，结合市国资委监管企业行业分布特点和有关标准规范，特制定本指引。</w:t>
      </w:r>
    </w:p>
    <w:p w:rsidR="000657BF" w:rsidRPr="000657BF" w:rsidRDefault="000657BF" w:rsidP="000657BF">
      <w:pPr>
        <w:widowControl/>
        <w:shd w:val="clear" w:color="auto" w:fill="FFFFFF"/>
        <w:spacing w:line="400" w:lineRule="atLeast"/>
        <w:ind w:firstLine="480"/>
        <w:rPr>
          <w:rFonts w:ascii="微软雅黑" w:eastAsia="微软雅黑" w:hAnsi="微软雅黑" w:cs="宋体" w:hint="eastAsia"/>
          <w:color w:val="000000"/>
          <w:kern w:val="0"/>
          <w:sz w:val="24"/>
          <w:szCs w:val="24"/>
        </w:rPr>
      </w:pPr>
      <w:r w:rsidRPr="000657BF">
        <w:rPr>
          <w:rFonts w:ascii="宋体" w:eastAsia="宋体" w:hAnsi="宋体" w:cs="宋体" w:hint="eastAsia"/>
          <w:color w:val="000000"/>
          <w:kern w:val="0"/>
          <w:sz w:val="24"/>
          <w:szCs w:val="24"/>
        </w:rPr>
        <w:t>本指引明确了企业核心竞争力定义，对评价体系的设立原则、指标选取、权重确认进行解释说明，明确了评价方法、流程、结果使用。指引主体内容共包含企业核心竞争力定义与属性、指标设立原则与评价体系框架、行业分类与评估方法三个部分，适用于评价上海市国资委监管企业核心竞争力。</w:t>
      </w:r>
    </w:p>
    <w:p w:rsidR="000657BF" w:rsidRPr="000657BF" w:rsidRDefault="000657BF" w:rsidP="000657BF">
      <w:pPr>
        <w:widowControl/>
        <w:shd w:val="clear" w:color="auto" w:fill="FFFFFF"/>
        <w:spacing w:line="400" w:lineRule="atLeast"/>
        <w:ind w:firstLine="480"/>
        <w:rPr>
          <w:rFonts w:ascii="微软雅黑" w:eastAsia="微软雅黑" w:hAnsi="微软雅黑" w:cs="宋体" w:hint="eastAsia"/>
          <w:color w:val="000000"/>
          <w:kern w:val="0"/>
          <w:sz w:val="24"/>
          <w:szCs w:val="24"/>
        </w:rPr>
      </w:pPr>
      <w:r w:rsidRPr="000657BF">
        <w:rPr>
          <w:rFonts w:ascii="黑体" w:eastAsia="黑体" w:hAnsi="黑体" w:cs="宋体" w:hint="eastAsia"/>
          <w:color w:val="000000"/>
          <w:kern w:val="0"/>
          <w:sz w:val="24"/>
          <w:szCs w:val="24"/>
        </w:rPr>
        <w:t>一、</w:t>
      </w:r>
      <w:r w:rsidRPr="000657BF">
        <w:rPr>
          <w:rFonts w:ascii="宋体" w:eastAsia="宋体" w:hAnsi="宋体" w:cs="宋体" w:hint="eastAsia"/>
          <w:color w:val="000000"/>
          <w:kern w:val="0"/>
          <w:sz w:val="24"/>
          <w:szCs w:val="24"/>
        </w:rPr>
        <w:t>企业核心竞争力定义与属性</w:t>
      </w:r>
    </w:p>
    <w:p w:rsidR="000657BF" w:rsidRPr="000657BF" w:rsidRDefault="000657BF" w:rsidP="000657BF">
      <w:pPr>
        <w:widowControl/>
        <w:shd w:val="clear" w:color="auto" w:fill="FFFFFF"/>
        <w:spacing w:line="400" w:lineRule="atLeast"/>
        <w:ind w:firstLine="480"/>
        <w:rPr>
          <w:rFonts w:ascii="微软雅黑" w:eastAsia="微软雅黑" w:hAnsi="微软雅黑" w:cs="宋体" w:hint="eastAsia"/>
          <w:color w:val="000000"/>
          <w:kern w:val="0"/>
          <w:sz w:val="24"/>
          <w:szCs w:val="24"/>
        </w:rPr>
      </w:pPr>
      <w:r w:rsidRPr="000657BF">
        <w:rPr>
          <w:rFonts w:ascii="宋体" w:eastAsia="宋体" w:hAnsi="宋体" w:cs="宋体" w:hint="eastAsia"/>
          <w:color w:val="000000"/>
          <w:kern w:val="0"/>
          <w:sz w:val="24"/>
          <w:szCs w:val="24"/>
        </w:rPr>
        <w:t>企业核心竞争力是企业集合自身资本、技术、人才等资源，协调整合各类生产经营活动所形成的，对企业能够提供持续竞争优势的能力。具有以下属性：</w:t>
      </w:r>
      <w:r w:rsidRPr="000657BF">
        <w:rPr>
          <w:rFonts w:ascii="宋体" w:eastAsia="宋体" w:hAnsi="宋体" w:cs="宋体" w:hint="eastAsia"/>
          <w:b/>
          <w:bCs/>
          <w:color w:val="000000"/>
          <w:kern w:val="0"/>
          <w:sz w:val="24"/>
          <w:szCs w:val="24"/>
        </w:rPr>
        <w:t>一是不易模仿性</w:t>
      </w:r>
      <w:r w:rsidRPr="000657BF">
        <w:rPr>
          <w:rFonts w:ascii="宋体" w:eastAsia="宋体" w:hAnsi="宋体" w:cs="宋体" w:hint="eastAsia"/>
          <w:color w:val="000000"/>
          <w:kern w:val="0"/>
          <w:sz w:val="24"/>
          <w:szCs w:val="24"/>
        </w:rPr>
        <w:t>。核心竞争力是企业个体所独具的能力，难以被其他竞争对手复制。</w:t>
      </w:r>
      <w:r w:rsidRPr="000657BF">
        <w:rPr>
          <w:rFonts w:ascii="宋体" w:eastAsia="宋体" w:hAnsi="宋体" w:cs="宋体" w:hint="eastAsia"/>
          <w:b/>
          <w:bCs/>
          <w:color w:val="000000"/>
          <w:kern w:val="0"/>
          <w:sz w:val="24"/>
          <w:szCs w:val="24"/>
        </w:rPr>
        <w:t>二是不可替代性</w:t>
      </w:r>
      <w:r w:rsidRPr="000657BF">
        <w:rPr>
          <w:rFonts w:ascii="宋体" w:eastAsia="宋体" w:hAnsi="宋体" w:cs="宋体" w:hint="eastAsia"/>
          <w:color w:val="000000"/>
          <w:kern w:val="0"/>
          <w:sz w:val="24"/>
          <w:szCs w:val="24"/>
        </w:rPr>
        <w:t>。企业关键竞争优势无法通过核心竞争力以外的因素获得。</w:t>
      </w:r>
      <w:r w:rsidRPr="000657BF">
        <w:rPr>
          <w:rFonts w:ascii="宋体" w:eastAsia="宋体" w:hAnsi="宋体" w:cs="宋体" w:hint="eastAsia"/>
          <w:b/>
          <w:bCs/>
          <w:color w:val="000000"/>
          <w:kern w:val="0"/>
          <w:sz w:val="24"/>
          <w:szCs w:val="24"/>
        </w:rPr>
        <w:t>三是可持续性</w:t>
      </w:r>
      <w:r w:rsidRPr="000657BF">
        <w:rPr>
          <w:rFonts w:ascii="宋体" w:eastAsia="宋体" w:hAnsi="宋体" w:cs="宋体" w:hint="eastAsia"/>
          <w:color w:val="000000"/>
          <w:kern w:val="0"/>
          <w:sz w:val="24"/>
          <w:szCs w:val="24"/>
        </w:rPr>
        <w:t>。核心竞争力自身具备可持续性，且能为企业带来持续竞争优势。</w:t>
      </w:r>
      <w:r w:rsidRPr="000657BF">
        <w:rPr>
          <w:rFonts w:ascii="宋体" w:eastAsia="宋体" w:hAnsi="宋体" w:cs="宋体" w:hint="eastAsia"/>
          <w:b/>
          <w:bCs/>
          <w:color w:val="000000"/>
          <w:kern w:val="0"/>
          <w:sz w:val="24"/>
          <w:szCs w:val="24"/>
        </w:rPr>
        <w:t>四是动态性</w:t>
      </w:r>
      <w:r w:rsidRPr="000657BF">
        <w:rPr>
          <w:rFonts w:ascii="宋体" w:eastAsia="宋体" w:hAnsi="宋体" w:cs="宋体" w:hint="eastAsia"/>
          <w:color w:val="000000"/>
          <w:kern w:val="0"/>
          <w:sz w:val="24"/>
          <w:szCs w:val="24"/>
        </w:rPr>
        <w:t>。核心竞争力是随着产业发展趋势、企业生命周期、政策环境变更不断动态调整的能力，始终会伴随竞争环境演化。</w:t>
      </w:r>
      <w:r w:rsidRPr="000657BF">
        <w:rPr>
          <w:rFonts w:ascii="宋体" w:eastAsia="宋体" w:hAnsi="宋体" w:cs="宋体" w:hint="eastAsia"/>
          <w:b/>
          <w:bCs/>
          <w:color w:val="000000"/>
          <w:kern w:val="0"/>
          <w:sz w:val="24"/>
          <w:szCs w:val="24"/>
        </w:rPr>
        <w:t>五是延展性</w:t>
      </w:r>
      <w:r w:rsidRPr="000657BF">
        <w:rPr>
          <w:rFonts w:ascii="宋体" w:eastAsia="宋体" w:hAnsi="宋体" w:cs="宋体" w:hint="eastAsia"/>
          <w:color w:val="000000"/>
          <w:kern w:val="0"/>
          <w:sz w:val="24"/>
          <w:szCs w:val="24"/>
        </w:rPr>
        <w:t>。核心竞争力可以帮助企业获得核心竞争力以外的各项能力，促进企业总体竞争优势改善，最终惠及企业各项终端业务和产品实力的提升。</w:t>
      </w:r>
    </w:p>
    <w:p w:rsidR="000657BF" w:rsidRPr="000657BF" w:rsidRDefault="000657BF" w:rsidP="000657BF">
      <w:pPr>
        <w:widowControl/>
        <w:shd w:val="clear" w:color="auto" w:fill="FFFFFF"/>
        <w:spacing w:line="400" w:lineRule="atLeast"/>
        <w:ind w:firstLine="480"/>
        <w:rPr>
          <w:rFonts w:ascii="微软雅黑" w:eastAsia="微软雅黑" w:hAnsi="微软雅黑" w:cs="宋体" w:hint="eastAsia"/>
          <w:color w:val="000000"/>
          <w:kern w:val="0"/>
          <w:sz w:val="24"/>
          <w:szCs w:val="24"/>
        </w:rPr>
      </w:pPr>
      <w:r w:rsidRPr="000657BF">
        <w:rPr>
          <w:rFonts w:ascii="黑体" w:eastAsia="黑体" w:hAnsi="黑体" w:cs="宋体" w:hint="eastAsia"/>
          <w:color w:val="000000"/>
          <w:kern w:val="0"/>
          <w:sz w:val="24"/>
          <w:szCs w:val="24"/>
        </w:rPr>
        <w:t>二、</w:t>
      </w:r>
      <w:r w:rsidRPr="000657BF">
        <w:rPr>
          <w:rFonts w:ascii="宋体" w:eastAsia="宋体" w:hAnsi="宋体" w:cs="宋体" w:hint="eastAsia"/>
          <w:color w:val="000000"/>
          <w:kern w:val="0"/>
          <w:sz w:val="24"/>
          <w:szCs w:val="24"/>
        </w:rPr>
        <w:t>指标设立原则和评价体系框架</w:t>
      </w:r>
    </w:p>
    <w:p w:rsidR="000657BF" w:rsidRPr="000657BF" w:rsidRDefault="000657BF" w:rsidP="000657BF">
      <w:pPr>
        <w:widowControl/>
        <w:shd w:val="clear" w:color="auto" w:fill="FFFFFF"/>
        <w:spacing w:line="400" w:lineRule="atLeast"/>
        <w:ind w:firstLine="482"/>
        <w:jc w:val="left"/>
        <w:rPr>
          <w:rFonts w:ascii="微软雅黑" w:eastAsia="微软雅黑" w:hAnsi="微软雅黑" w:cs="宋体" w:hint="eastAsia"/>
          <w:color w:val="000000"/>
          <w:kern w:val="0"/>
          <w:sz w:val="24"/>
          <w:szCs w:val="24"/>
        </w:rPr>
      </w:pPr>
      <w:r w:rsidRPr="000657BF">
        <w:rPr>
          <w:rFonts w:ascii="宋体" w:eastAsia="宋体" w:hAnsi="宋体" w:cs="宋体" w:hint="eastAsia"/>
          <w:b/>
          <w:bCs/>
          <w:color w:val="000000"/>
          <w:kern w:val="0"/>
          <w:sz w:val="24"/>
          <w:szCs w:val="24"/>
        </w:rPr>
        <w:t>（一）指标设立原则和总体思路</w:t>
      </w:r>
    </w:p>
    <w:p w:rsidR="000657BF" w:rsidRPr="000657BF" w:rsidRDefault="000657BF" w:rsidP="000657BF">
      <w:pPr>
        <w:widowControl/>
        <w:shd w:val="clear" w:color="auto" w:fill="FFFFFF"/>
        <w:spacing w:line="400" w:lineRule="atLeast"/>
        <w:ind w:firstLine="480"/>
        <w:jc w:val="left"/>
        <w:rPr>
          <w:rFonts w:ascii="微软雅黑" w:eastAsia="微软雅黑" w:hAnsi="微软雅黑" w:cs="宋体" w:hint="eastAsia"/>
          <w:color w:val="000000"/>
          <w:kern w:val="0"/>
          <w:sz w:val="24"/>
          <w:szCs w:val="24"/>
        </w:rPr>
      </w:pPr>
      <w:r w:rsidRPr="000657BF">
        <w:rPr>
          <w:rFonts w:ascii="宋体" w:eastAsia="宋体" w:hAnsi="宋体" w:cs="宋体" w:hint="eastAsia"/>
          <w:color w:val="000000"/>
          <w:kern w:val="0"/>
          <w:sz w:val="24"/>
          <w:szCs w:val="24"/>
        </w:rPr>
        <w:t>本指标体系构建坚持专业性、系统性、可行性、可比性、精简性原则，注重做到“三个区分”。</w:t>
      </w:r>
    </w:p>
    <w:p w:rsidR="000657BF" w:rsidRPr="000657BF" w:rsidRDefault="000657BF" w:rsidP="000657BF">
      <w:pPr>
        <w:widowControl/>
        <w:shd w:val="clear" w:color="auto" w:fill="FFFFFF"/>
        <w:spacing w:line="400" w:lineRule="atLeast"/>
        <w:ind w:firstLine="482"/>
        <w:rPr>
          <w:rFonts w:ascii="微软雅黑" w:eastAsia="微软雅黑" w:hAnsi="微软雅黑" w:cs="宋体" w:hint="eastAsia"/>
          <w:color w:val="000000"/>
          <w:kern w:val="0"/>
          <w:sz w:val="24"/>
          <w:szCs w:val="24"/>
        </w:rPr>
      </w:pPr>
      <w:r w:rsidRPr="000657BF">
        <w:rPr>
          <w:rFonts w:ascii="宋体" w:eastAsia="宋体" w:hAnsi="宋体" w:cs="宋体" w:hint="eastAsia"/>
          <w:b/>
          <w:bCs/>
          <w:color w:val="000000"/>
          <w:kern w:val="0"/>
          <w:sz w:val="24"/>
          <w:szCs w:val="24"/>
        </w:rPr>
        <w:t>一是区分结果性与过程性指标。</w:t>
      </w:r>
      <w:r w:rsidRPr="000657BF">
        <w:rPr>
          <w:rFonts w:ascii="宋体" w:eastAsia="宋体" w:hAnsi="宋体" w:cs="宋体" w:hint="eastAsia"/>
          <w:color w:val="000000"/>
          <w:kern w:val="0"/>
          <w:sz w:val="24"/>
          <w:szCs w:val="24"/>
        </w:rPr>
        <w:t>把核心竞争力的指标总体区分为结果性与过程性指标，更加系统全面地评价与分析企业核心竞争力。其中，结果性指标用以直接评价企业核心竞争力的强弱。过程性指标用以分析企业核心竞争力变化的原因，通过观察核心竞争力的构成要素，助力企业既看到自身长板，也能找到短板弱项，明确核心竞争力提升的方向。</w:t>
      </w:r>
    </w:p>
    <w:p w:rsidR="000657BF" w:rsidRPr="000657BF" w:rsidRDefault="000657BF" w:rsidP="000657BF">
      <w:pPr>
        <w:widowControl/>
        <w:shd w:val="clear" w:color="auto" w:fill="FFFFFF"/>
        <w:spacing w:line="400" w:lineRule="atLeast"/>
        <w:ind w:firstLine="482"/>
        <w:rPr>
          <w:rFonts w:ascii="微软雅黑" w:eastAsia="微软雅黑" w:hAnsi="微软雅黑" w:cs="宋体" w:hint="eastAsia"/>
          <w:color w:val="000000"/>
          <w:kern w:val="0"/>
          <w:sz w:val="24"/>
          <w:szCs w:val="24"/>
        </w:rPr>
      </w:pPr>
      <w:r w:rsidRPr="000657BF">
        <w:rPr>
          <w:rFonts w:ascii="宋体" w:eastAsia="宋体" w:hAnsi="宋体" w:cs="宋体" w:hint="eastAsia"/>
          <w:b/>
          <w:bCs/>
          <w:color w:val="000000"/>
          <w:kern w:val="0"/>
          <w:sz w:val="24"/>
          <w:szCs w:val="24"/>
        </w:rPr>
        <w:t>二是区分通用性与行业性指标。</w:t>
      </w:r>
      <w:r w:rsidRPr="000657BF">
        <w:rPr>
          <w:rFonts w:ascii="宋体" w:eastAsia="宋体" w:hAnsi="宋体" w:cs="宋体" w:hint="eastAsia"/>
          <w:color w:val="000000"/>
          <w:kern w:val="0"/>
          <w:sz w:val="24"/>
          <w:szCs w:val="24"/>
        </w:rPr>
        <w:t>核心竞争力的指标存在较大的行业特殊性，处于不同行业的企业指标构成有所不同。通过区分通用性与行业性指标，更加科学专业地评价与分析企业核心竞争力。指标目前共纳入通用性指标25个，行业</w:t>
      </w:r>
      <w:r w:rsidRPr="000657BF">
        <w:rPr>
          <w:rFonts w:ascii="宋体" w:eastAsia="宋体" w:hAnsi="宋体" w:cs="宋体" w:hint="eastAsia"/>
          <w:color w:val="000000"/>
          <w:kern w:val="0"/>
          <w:sz w:val="24"/>
          <w:szCs w:val="24"/>
        </w:rPr>
        <w:lastRenderedPageBreak/>
        <w:t>特殊性指标140个。例如，汽车行业特色指标纳入了单车利润、品牌网络流量热度、新能源车渗透率等指标；酒店行业特色指标纳入了门店数、平均每日房价、每间可用客房收入、入住率等指标。</w:t>
      </w:r>
    </w:p>
    <w:p w:rsidR="000657BF" w:rsidRPr="000657BF" w:rsidRDefault="000657BF" w:rsidP="000657BF">
      <w:pPr>
        <w:widowControl/>
        <w:shd w:val="clear" w:color="auto" w:fill="FFFFFF"/>
        <w:spacing w:line="400" w:lineRule="atLeast"/>
        <w:ind w:firstLine="482"/>
        <w:rPr>
          <w:rFonts w:ascii="微软雅黑" w:eastAsia="微软雅黑" w:hAnsi="微软雅黑" w:cs="宋体" w:hint="eastAsia"/>
          <w:color w:val="000000"/>
          <w:kern w:val="0"/>
          <w:sz w:val="24"/>
          <w:szCs w:val="24"/>
        </w:rPr>
      </w:pPr>
      <w:r w:rsidRPr="000657BF">
        <w:rPr>
          <w:rFonts w:ascii="宋体" w:eastAsia="宋体" w:hAnsi="宋体" w:cs="宋体" w:hint="eastAsia"/>
          <w:b/>
          <w:bCs/>
          <w:color w:val="000000"/>
          <w:kern w:val="0"/>
          <w:sz w:val="24"/>
          <w:szCs w:val="24"/>
        </w:rPr>
        <w:t>三是区分固定性和选择性指标。</w:t>
      </w:r>
      <w:r w:rsidRPr="000657BF">
        <w:rPr>
          <w:rFonts w:ascii="宋体" w:eastAsia="宋体" w:hAnsi="宋体" w:cs="宋体" w:hint="eastAsia"/>
          <w:color w:val="000000"/>
          <w:kern w:val="0"/>
          <w:sz w:val="24"/>
          <w:szCs w:val="24"/>
        </w:rPr>
        <w:t>指标体系划分为两级，其中一级指标及权重采用固定方式，二级指标采取指标库方式，</w:t>
      </w:r>
      <w:proofErr w:type="gramStart"/>
      <w:r w:rsidRPr="000657BF">
        <w:rPr>
          <w:rFonts w:ascii="宋体" w:eastAsia="宋体" w:hAnsi="宋体" w:cs="宋体" w:hint="eastAsia"/>
          <w:color w:val="000000"/>
          <w:kern w:val="0"/>
          <w:sz w:val="24"/>
          <w:szCs w:val="24"/>
        </w:rPr>
        <w:t>依照不</w:t>
      </w:r>
      <w:proofErr w:type="gramEnd"/>
      <w:r w:rsidRPr="000657BF">
        <w:rPr>
          <w:rFonts w:ascii="宋体" w:eastAsia="宋体" w:hAnsi="宋体" w:cs="宋体" w:hint="eastAsia"/>
          <w:color w:val="000000"/>
          <w:kern w:val="0"/>
          <w:sz w:val="24"/>
          <w:szCs w:val="24"/>
        </w:rPr>
        <w:t>同行业动态调整行业特性指标，且二级指标与权重可由行业企业自主调整。</w:t>
      </w:r>
    </w:p>
    <w:p w:rsidR="000657BF" w:rsidRPr="000657BF" w:rsidRDefault="000657BF" w:rsidP="000657BF">
      <w:pPr>
        <w:widowControl/>
        <w:shd w:val="clear" w:color="auto" w:fill="FFFFFF"/>
        <w:spacing w:line="400" w:lineRule="atLeast"/>
        <w:ind w:firstLine="482"/>
        <w:rPr>
          <w:rFonts w:ascii="微软雅黑" w:eastAsia="微软雅黑" w:hAnsi="微软雅黑" w:cs="宋体" w:hint="eastAsia"/>
          <w:color w:val="000000"/>
          <w:kern w:val="0"/>
          <w:sz w:val="24"/>
          <w:szCs w:val="24"/>
        </w:rPr>
      </w:pPr>
      <w:r w:rsidRPr="000657BF">
        <w:rPr>
          <w:rFonts w:ascii="宋体" w:eastAsia="宋体" w:hAnsi="宋体" w:cs="宋体" w:hint="eastAsia"/>
          <w:b/>
          <w:bCs/>
          <w:color w:val="000000"/>
          <w:kern w:val="0"/>
          <w:sz w:val="24"/>
          <w:szCs w:val="24"/>
        </w:rPr>
        <w:t>（二）评价体系框架</w:t>
      </w:r>
    </w:p>
    <w:p w:rsidR="000657BF" w:rsidRPr="000657BF" w:rsidRDefault="000657BF" w:rsidP="000657BF">
      <w:pPr>
        <w:widowControl/>
        <w:shd w:val="clear" w:color="auto" w:fill="FFFFFF"/>
        <w:spacing w:line="400" w:lineRule="atLeast"/>
        <w:ind w:firstLine="480"/>
        <w:rPr>
          <w:rFonts w:ascii="微软雅黑" w:eastAsia="微软雅黑" w:hAnsi="微软雅黑" w:cs="宋体" w:hint="eastAsia"/>
          <w:color w:val="000000"/>
          <w:kern w:val="0"/>
          <w:sz w:val="24"/>
          <w:szCs w:val="24"/>
        </w:rPr>
      </w:pPr>
      <w:r w:rsidRPr="000657BF">
        <w:rPr>
          <w:rFonts w:ascii="宋体" w:eastAsia="宋体" w:hAnsi="宋体" w:cs="宋体" w:hint="eastAsia"/>
          <w:color w:val="000000"/>
          <w:kern w:val="0"/>
          <w:sz w:val="24"/>
          <w:szCs w:val="24"/>
        </w:rPr>
        <w:t>为全面准确评价企业核心竞争力，本指引对每一个重点行业建立“1+1”评价指标体系。</w:t>
      </w:r>
    </w:p>
    <w:p w:rsidR="000657BF" w:rsidRPr="000657BF" w:rsidRDefault="000657BF" w:rsidP="000657BF">
      <w:pPr>
        <w:widowControl/>
        <w:shd w:val="clear" w:color="auto" w:fill="FFFFFF"/>
        <w:spacing w:line="400" w:lineRule="atLeast"/>
        <w:ind w:firstLine="482"/>
        <w:rPr>
          <w:rFonts w:ascii="微软雅黑" w:eastAsia="微软雅黑" w:hAnsi="微软雅黑" w:cs="宋体" w:hint="eastAsia"/>
          <w:color w:val="000000"/>
          <w:kern w:val="0"/>
          <w:sz w:val="24"/>
          <w:szCs w:val="24"/>
        </w:rPr>
      </w:pPr>
      <w:r w:rsidRPr="000657BF">
        <w:rPr>
          <w:rFonts w:ascii="宋体" w:eastAsia="宋体" w:hAnsi="宋体" w:cs="宋体" w:hint="eastAsia"/>
          <w:b/>
          <w:bCs/>
          <w:color w:val="000000"/>
          <w:kern w:val="0"/>
          <w:sz w:val="24"/>
          <w:szCs w:val="24"/>
        </w:rPr>
        <w:t>第一个“1”，为一套结果性指标</w:t>
      </w:r>
      <w:r w:rsidRPr="000657BF">
        <w:rPr>
          <w:rFonts w:ascii="宋体" w:eastAsia="宋体" w:hAnsi="宋体" w:cs="宋体" w:hint="eastAsia"/>
          <w:color w:val="000000"/>
          <w:kern w:val="0"/>
          <w:sz w:val="24"/>
          <w:szCs w:val="24"/>
        </w:rPr>
        <w:t>，用以直接评价企业核心竞争力的强弱。由于核心竞争力强的企业最终通常表现为企业盈利能力强、重要</w:t>
      </w:r>
      <w:proofErr w:type="gramStart"/>
      <w:r w:rsidRPr="000657BF">
        <w:rPr>
          <w:rFonts w:ascii="宋体" w:eastAsia="宋体" w:hAnsi="宋体" w:cs="宋体" w:hint="eastAsia"/>
          <w:color w:val="000000"/>
          <w:kern w:val="0"/>
          <w:sz w:val="24"/>
          <w:szCs w:val="24"/>
        </w:rPr>
        <w:t>产品市占率</w:t>
      </w:r>
      <w:proofErr w:type="gramEnd"/>
      <w:r w:rsidRPr="000657BF">
        <w:rPr>
          <w:rFonts w:ascii="宋体" w:eastAsia="宋体" w:hAnsi="宋体" w:cs="宋体" w:hint="eastAsia"/>
          <w:color w:val="000000"/>
          <w:kern w:val="0"/>
          <w:sz w:val="24"/>
          <w:szCs w:val="24"/>
        </w:rPr>
        <w:t>高、行业地位领先、品牌价值突出等特征，因此结果性指标具体纳入财务表现、行业地位、品牌价值三个维度。其中，一级指标内容与权重依据专家建议固定，三者权重分别为50%、30%、20%（表1）。</w:t>
      </w:r>
    </w:p>
    <w:p w:rsidR="000657BF" w:rsidRPr="000657BF" w:rsidRDefault="000657BF" w:rsidP="000657BF">
      <w:pPr>
        <w:widowControl/>
        <w:shd w:val="clear" w:color="auto" w:fill="FFFFFF"/>
        <w:spacing w:line="400" w:lineRule="atLeast"/>
        <w:jc w:val="center"/>
        <w:rPr>
          <w:rFonts w:ascii="微软雅黑" w:eastAsia="微软雅黑" w:hAnsi="微软雅黑" w:cs="宋体" w:hint="eastAsia"/>
          <w:color w:val="000000"/>
          <w:kern w:val="0"/>
          <w:sz w:val="24"/>
          <w:szCs w:val="24"/>
        </w:rPr>
      </w:pPr>
      <w:r w:rsidRPr="000657BF">
        <w:rPr>
          <w:rFonts w:ascii="宋体" w:eastAsia="宋体" w:hAnsi="宋体" w:cs="宋体" w:hint="eastAsia"/>
          <w:b/>
          <w:bCs/>
          <w:color w:val="000000"/>
          <w:kern w:val="0"/>
          <w:sz w:val="24"/>
          <w:szCs w:val="24"/>
        </w:rPr>
        <w:t>表1  结果性指标</w:t>
      </w:r>
    </w:p>
    <w:tbl>
      <w:tblPr>
        <w:tblW w:w="0" w:type="auto"/>
        <w:tblCellSpacing w:w="15" w:type="dxa"/>
        <w:tblInd w:w="135" w:type="dxa"/>
        <w:shd w:val="clear" w:color="auto" w:fill="FFFFFF"/>
        <w:tblCellMar>
          <w:top w:w="15" w:type="dxa"/>
          <w:left w:w="15" w:type="dxa"/>
          <w:bottom w:w="15" w:type="dxa"/>
          <w:right w:w="15" w:type="dxa"/>
        </w:tblCellMar>
        <w:tblLook w:val="04A0"/>
      </w:tblPr>
      <w:tblGrid>
        <w:gridCol w:w="3098"/>
        <w:gridCol w:w="5389"/>
      </w:tblGrid>
      <w:tr w:rsidR="000657BF" w:rsidRPr="000657BF" w:rsidTr="000657BF">
        <w:trPr>
          <w:trHeight w:val="409"/>
          <w:tblCellSpacing w:w="15" w:type="dxa"/>
        </w:trPr>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一级指标</w:t>
            </w:r>
          </w:p>
        </w:tc>
        <w:tc>
          <w:tcPr>
            <w:tcW w:w="31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评估要点</w:t>
            </w:r>
          </w:p>
        </w:tc>
      </w:tr>
      <w:tr w:rsidR="000657BF" w:rsidRPr="000657BF" w:rsidTr="000657BF">
        <w:trPr>
          <w:trHeight w:val="1633"/>
          <w:tblCellSpacing w:w="15" w:type="dxa"/>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财务表现（50%）</w:t>
            </w:r>
          </w:p>
        </w:tc>
        <w:tc>
          <w:tcPr>
            <w:tcW w:w="3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评价企业财务在增长、效率、安全等方面的表现。其中，增长主要考察企业盈利增速，评估企业盈利成长性的强弱。效率主要考察企业价值创造效率，评估国有资本运营效率的强弱。安全主要考察企业财务风险指标，评估企业财务稳健性的强弱。</w:t>
            </w:r>
          </w:p>
        </w:tc>
      </w:tr>
      <w:tr w:rsidR="000657BF" w:rsidRPr="000657BF" w:rsidTr="000657BF">
        <w:trPr>
          <w:trHeight w:val="1322"/>
          <w:tblCellSpacing w:w="15" w:type="dxa"/>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行业地位（30%）</w:t>
            </w:r>
          </w:p>
        </w:tc>
        <w:tc>
          <w:tcPr>
            <w:tcW w:w="3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评价企业产品和服务在市场中的竞争水平，主要考察相关产品或服务的市场占有率、主营业务收入规模、总资产规模、行业标准制定数量等，评估企业在相关领域竞争中的行业地位。</w:t>
            </w:r>
          </w:p>
        </w:tc>
      </w:tr>
      <w:tr w:rsidR="000657BF" w:rsidRPr="000657BF" w:rsidTr="000657BF">
        <w:trPr>
          <w:trHeight w:val="1025"/>
          <w:tblCellSpacing w:w="15" w:type="dxa"/>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品牌价值（20%）</w:t>
            </w:r>
          </w:p>
        </w:tc>
        <w:tc>
          <w:tcPr>
            <w:tcW w:w="3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评价企业品牌实力，主要考察企业自身以及产品、服务在相关行业中的专业排名，评估企业品牌价值在行业内的水平。</w:t>
            </w:r>
          </w:p>
        </w:tc>
      </w:tr>
    </w:tbl>
    <w:p w:rsidR="000657BF" w:rsidRPr="000657BF" w:rsidRDefault="000657BF" w:rsidP="000657BF">
      <w:pPr>
        <w:widowControl/>
        <w:shd w:val="clear" w:color="auto" w:fill="FFFFFF"/>
        <w:spacing w:line="400" w:lineRule="atLeast"/>
        <w:ind w:firstLine="482"/>
        <w:jc w:val="left"/>
        <w:rPr>
          <w:rFonts w:ascii="微软雅黑" w:eastAsia="微软雅黑" w:hAnsi="微软雅黑" w:cs="宋体" w:hint="eastAsia"/>
          <w:color w:val="000000"/>
          <w:kern w:val="0"/>
          <w:sz w:val="24"/>
          <w:szCs w:val="24"/>
        </w:rPr>
      </w:pPr>
      <w:r w:rsidRPr="000657BF">
        <w:rPr>
          <w:rFonts w:ascii="宋体" w:eastAsia="宋体" w:hAnsi="宋体" w:cs="宋体" w:hint="eastAsia"/>
          <w:b/>
          <w:bCs/>
          <w:color w:val="000000"/>
          <w:kern w:val="0"/>
          <w:sz w:val="24"/>
          <w:szCs w:val="24"/>
        </w:rPr>
        <w:t>第二个“1”，为一套过程性指标</w:t>
      </w:r>
      <w:r w:rsidRPr="000657BF">
        <w:rPr>
          <w:rFonts w:ascii="宋体" w:eastAsia="宋体" w:hAnsi="宋体" w:cs="宋体" w:hint="eastAsia"/>
          <w:color w:val="000000"/>
          <w:kern w:val="0"/>
          <w:sz w:val="24"/>
          <w:szCs w:val="24"/>
        </w:rPr>
        <w:t>，用以分析企业核心竞争力强弱的原因，通过观察核心竞争力的构成，捕捉关键要素变化，为企业明确长短板以及重点能力培育方向。具体划分为价值创造能力、科技创新能力、战略管控能力、产业影响能力、ESG表现5个要素，共13个一级指标（表2），指标内容及权重固定。其中，价值创造能力重点体现企业在竞争中能够实现更高的效率或更低的成本；</w:t>
      </w:r>
      <w:r w:rsidRPr="000657BF">
        <w:rPr>
          <w:rFonts w:ascii="宋体" w:eastAsia="宋体" w:hAnsi="宋体" w:cs="宋体" w:hint="eastAsia"/>
          <w:color w:val="000000"/>
          <w:kern w:val="0"/>
          <w:sz w:val="24"/>
          <w:szCs w:val="24"/>
        </w:rPr>
        <w:lastRenderedPageBreak/>
        <w:t>科技创新能力重点体现企业科技创新投入规模、创新产出效率以及业务模式创新。战略管控能力重点体现企业战略规划的科学性、敏捷性以及风险管理情况。产业影响能力重点体现企业在相关产业链中的优势地位以及海外布局情况。ESG表现重点体现企业在环境、治理和社会责任等方面的效能。</w:t>
      </w:r>
    </w:p>
    <w:p w:rsidR="000657BF" w:rsidRPr="000657BF" w:rsidRDefault="000657BF" w:rsidP="000657BF">
      <w:pPr>
        <w:widowControl/>
        <w:shd w:val="clear" w:color="auto" w:fill="FFFFFF"/>
        <w:spacing w:line="400" w:lineRule="atLeast"/>
        <w:jc w:val="center"/>
        <w:rPr>
          <w:rFonts w:ascii="微软雅黑" w:eastAsia="微软雅黑" w:hAnsi="微软雅黑" w:cs="宋体" w:hint="eastAsia"/>
          <w:color w:val="000000"/>
          <w:kern w:val="0"/>
          <w:sz w:val="24"/>
          <w:szCs w:val="24"/>
        </w:rPr>
      </w:pPr>
      <w:r w:rsidRPr="000657BF">
        <w:rPr>
          <w:rFonts w:ascii="宋体" w:eastAsia="宋体" w:hAnsi="宋体" w:cs="宋体" w:hint="eastAsia"/>
          <w:b/>
          <w:bCs/>
          <w:color w:val="000000"/>
          <w:kern w:val="0"/>
          <w:sz w:val="24"/>
          <w:szCs w:val="24"/>
        </w:rPr>
        <w:t>表2  过程性指标</w:t>
      </w:r>
    </w:p>
    <w:tbl>
      <w:tblPr>
        <w:tblW w:w="0" w:type="auto"/>
        <w:tblCellSpacing w:w="15" w:type="dxa"/>
        <w:tblInd w:w="-237" w:type="dxa"/>
        <w:shd w:val="clear" w:color="auto" w:fill="FFFFFF"/>
        <w:tblCellMar>
          <w:top w:w="15" w:type="dxa"/>
          <w:left w:w="15" w:type="dxa"/>
          <w:bottom w:w="15" w:type="dxa"/>
          <w:right w:w="15" w:type="dxa"/>
        </w:tblCellMar>
        <w:tblLook w:val="04A0"/>
      </w:tblPr>
      <w:tblGrid>
        <w:gridCol w:w="1429"/>
        <w:gridCol w:w="1552"/>
        <w:gridCol w:w="5878"/>
      </w:tblGrid>
      <w:tr w:rsidR="000657BF" w:rsidRPr="000657BF" w:rsidTr="000657BF">
        <w:trPr>
          <w:trHeight w:val="375"/>
          <w:tblCellSpacing w:w="15" w:type="dxa"/>
        </w:trPr>
        <w:tc>
          <w:tcPr>
            <w:tcW w:w="14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构成要素</w:t>
            </w:r>
          </w:p>
        </w:tc>
        <w:tc>
          <w:tcPr>
            <w:tcW w:w="15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一级指标</w:t>
            </w:r>
          </w:p>
        </w:tc>
        <w:tc>
          <w:tcPr>
            <w:tcW w:w="64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评估要点</w:t>
            </w:r>
          </w:p>
        </w:tc>
      </w:tr>
      <w:tr w:rsidR="000657BF" w:rsidRPr="000657BF" w:rsidTr="000657BF">
        <w:trPr>
          <w:trHeight w:val="1213"/>
          <w:tblCellSpacing w:w="15" w:type="dxa"/>
        </w:trPr>
        <w:tc>
          <w:tcPr>
            <w:tcW w:w="148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价值创造能力</w:t>
            </w:r>
          </w:p>
        </w:tc>
        <w:tc>
          <w:tcPr>
            <w:tcW w:w="1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经营效率（50%）</w:t>
            </w:r>
          </w:p>
        </w:tc>
        <w:tc>
          <w:tcPr>
            <w:tcW w:w="64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评价企业经营情况，是否最大化利用资源，包括人力、物力、财力等，主要观察存货周转率、应收账款周转率、总资产周转率、人均创收等。</w:t>
            </w:r>
          </w:p>
        </w:tc>
      </w:tr>
      <w:tr w:rsidR="000657BF" w:rsidRPr="000657BF" w:rsidTr="000657BF">
        <w:trPr>
          <w:trHeight w:val="1113"/>
          <w:tblCellSpacing w:w="15"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657BF" w:rsidRPr="000657BF" w:rsidRDefault="000657BF" w:rsidP="000657BF">
            <w:pPr>
              <w:widowControl/>
              <w:jc w:val="left"/>
              <w:rPr>
                <w:rFonts w:ascii="微软雅黑" w:eastAsia="微软雅黑" w:hAnsi="微软雅黑" w:cs="宋体"/>
                <w:color w:val="000000"/>
                <w:kern w:val="0"/>
                <w:sz w:val="24"/>
                <w:szCs w:val="24"/>
              </w:rPr>
            </w:pPr>
          </w:p>
        </w:tc>
        <w:tc>
          <w:tcPr>
            <w:tcW w:w="1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成本收益管控（50%）</w:t>
            </w:r>
          </w:p>
        </w:tc>
        <w:tc>
          <w:tcPr>
            <w:tcW w:w="64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评价企业成本、效益管控情况，是否以成本最小化原则，追求单位产出最大化，主要观察成本费用率、制造成本率、费用率、单位产品成本、成本效益比等。</w:t>
            </w:r>
          </w:p>
        </w:tc>
      </w:tr>
      <w:tr w:rsidR="000657BF" w:rsidRPr="000657BF" w:rsidTr="000657BF">
        <w:trPr>
          <w:trHeight w:val="940"/>
          <w:tblCellSpacing w:w="15" w:type="dxa"/>
        </w:trPr>
        <w:tc>
          <w:tcPr>
            <w:tcW w:w="148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科技创新能力</w:t>
            </w:r>
          </w:p>
        </w:tc>
        <w:tc>
          <w:tcPr>
            <w:tcW w:w="1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创新投入（30%）</w:t>
            </w:r>
          </w:p>
        </w:tc>
        <w:tc>
          <w:tcPr>
            <w:tcW w:w="64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评价企业为科技创新投入的资源总和，主要观察研发经费投入强度、研发人员占比、实验室建设情况等。</w:t>
            </w:r>
          </w:p>
        </w:tc>
      </w:tr>
      <w:tr w:rsidR="000657BF" w:rsidRPr="000657BF" w:rsidTr="000657BF">
        <w:trPr>
          <w:trHeight w:val="890"/>
          <w:tblCellSpacing w:w="15"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657BF" w:rsidRPr="000657BF" w:rsidRDefault="000657BF" w:rsidP="000657BF">
            <w:pPr>
              <w:widowControl/>
              <w:jc w:val="left"/>
              <w:rPr>
                <w:rFonts w:ascii="微软雅黑" w:eastAsia="微软雅黑" w:hAnsi="微软雅黑" w:cs="宋体"/>
                <w:color w:val="000000"/>
                <w:kern w:val="0"/>
                <w:sz w:val="24"/>
                <w:szCs w:val="24"/>
              </w:rPr>
            </w:pPr>
          </w:p>
        </w:tc>
        <w:tc>
          <w:tcPr>
            <w:tcW w:w="1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创新产出（40%）</w:t>
            </w:r>
          </w:p>
        </w:tc>
        <w:tc>
          <w:tcPr>
            <w:tcW w:w="64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评价企业科技创新成果以及科技创新成果转化效率，主要观察有效专利、科研奖项等。</w:t>
            </w:r>
          </w:p>
        </w:tc>
      </w:tr>
      <w:tr w:rsidR="000657BF" w:rsidRPr="000657BF" w:rsidTr="000657BF">
        <w:trPr>
          <w:trHeight w:val="999"/>
          <w:tblCellSpacing w:w="15"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657BF" w:rsidRPr="000657BF" w:rsidRDefault="000657BF" w:rsidP="000657BF">
            <w:pPr>
              <w:widowControl/>
              <w:jc w:val="left"/>
              <w:rPr>
                <w:rFonts w:ascii="微软雅黑" w:eastAsia="微软雅黑" w:hAnsi="微软雅黑" w:cs="宋体"/>
                <w:color w:val="000000"/>
                <w:kern w:val="0"/>
                <w:sz w:val="24"/>
                <w:szCs w:val="24"/>
              </w:rPr>
            </w:pPr>
          </w:p>
        </w:tc>
        <w:tc>
          <w:tcPr>
            <w:tcW w:w="1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proofErr w:type="gramStart"/>
            <w:r w:rsidRPr="000657BF">
              <w:rPr>
                <w:rFonts w:ascii="宋体" w:eastAsia="宋体" w:hAnsi="宋体" w:cs="宋体" w:hint="eastAsia"/>
                <w:color w:val="000000"/>
                <w:kern w:val="0"/>
                <w:sz w:val="24"/>
                <w:szCs w:val="24"/>
              </w:rPr>
              <w:t>数智化</w:t>
            </w:r>
            <w:proofErr w:type="gramEnd"/>
            <w:r w:rsidRPr="000657BF">
              <w:rPr>
                <w:rFonts w:ascii="宋体" w:eastAsia="宋体" w:hAnsi="宋体" w:cs="宋体" w:hint="eastAsia"/>
                <w:color w:val="000000"/>
                <w:kern w:val="0"/>
                <w:sz w:val="24"/>
                <w:szCs w:val="24"/>
              </w:rPr>
              <w:t>水平（30%）</w:t>
            </w:r>
          </w:p>
        </w:tc>
        <w:tc>
          <w:tcPr>
            <w:tcW w:w="64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评价企业数字化、智能化管理水平，主要观察数字化转型投入、智能化生产、数字化办公水平等。</w:t>
            </w:r>
          </w:p>
        </w:tc>
      </w:tr>
      <w:tr w:rsidR="000657BF" w:rsidRPr="000657BF" w:rsidTr="000657BF">
        <w:trPr>
          <w:trHeight w:val="330"/>
          <w:tblCellSpacing w:w="15" w:type="dxa"/>
        </w:trPr>
        <w:tc>
          <w:tcPr>
            <w:tcW w:w="148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战略管控能力</w:t>
            </w:r>
          </w:p>
        </w:tc>
        <w:tc>
          <w:tcPr>
            <w:tcW w:w="1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战略管理（60%）</w:t>
            </w:r>
          </w:p>
        </w:tc>
        <w:tc>
          <w:tcPr>
            <w:tcW w:w="64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评价企业战略的科学性、完成度以及与国家产业转型的契合度、贡献度，主要观察战略敏捷性、战略执行力、新兴产业占比等。</w:t>
            </w:r>
          </w:p>
        </w:tc>
      </w:tr>
      <w:tr w:rsidR="000657BF" w:rsidRPr="000657BF" w:rsidTr="000657BF">
        <w:trPr>
          <w:trHeight w:val="1163"/>
          <w:tblCellSpacing w:w="15"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657BF" w:rsidRPr="000657BF" w:rsidRDefault="000657BF" w:rsidP="000657BF">
            <w:pPr>
              <w:widowControl/>
              <w:jc w:val="left"/>
              <w:rPr>
                <w:rFonts w:ascii="微软雅黑" w:eastAsia="微软雅黑" w:hAnsi="微软雅黑" w:cs="宋体"/>
                <w:color w:val="000000"/>
                <w:kern w:val="0"/>
                <w:sz w:val="24"/>
                <w:szCs w:val="24"/>
              </w:rPr>
            </w:pPr>
          </w:p>
        </w:tc>
        <w:tc>
          <w:tcPr>
            <w:tcW w:w="1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风险管理（40%）</w:t>
            </w:r>
          </w:p>
        </w:tc>
        <w:tc>
          <w:tcPr>
            <w:tcW w:w="64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评价企业风险管控情况，防止与处理风险事件的能力，主要观察违规处罚案例以及能够影响财务风险的过程性指标等。</w:t>
            </w:r>
          </w:p>
        </w:tc>
      </w:tr>
      <w:tr w:rsidR="000657BF" w:rsidRPr="000657BF" w:rsidTr="000657BF">
        <w:trPr>
          <w:trHeight w:val="330"/>
          <w:tblCellSpacing w:w="15" w:type="dxa"/>
        </w:trPr>
        <w:tc>
          <w:tcPr>
            <w:tcW w:w="148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产业影响能力</w:t>
            </w:r>
          </w:p>
        </w:tc>
        <w:tc>
          <w:tcPr>
            <w:tcW w:w="1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重点子行业、</w:t>
            </w:r>
            <w:proofErr w:type="gramStart"/>
            <w:r w:rsidRPr="000657BF">
              <w:rPr>
                <w:rFonts w:ascii="宋体" w:eastAsia="宋体" w:hAnsi="宋体" w:cs="宋体" w:hint="eastAsia"/>
                <w:color w:val="000000"/>
                <w:kern w:val="0"/>
                <w:sz w:val="24"/>
                <w:szCs w:val="24"/>
              </w:rPr>
              <w:t>子业务</w:t>
            </w:r>
            <w:proofErr w:type="gramEnd"/>
            <w:r w:rsidRPr="000657BF">
              <w:rPr>
                <w:rFonts w:ascii="宋体" w:eastAsia="宋体" w:hAnsi="宋体" w:cs="宋体" w:hint="eastAsia"/>
                <w:color w:val="000000"/>
                <w:kern w:val="0"/>
                <w:sz w:val="24"/>
                <w:szCs w:val="24"/>
              </w:rPr>
              <w:t>表现（50%)</w:t>
            </w:r>
          </w:p>
        </w:tc>
        <w:tc>
          <w:tcPr>
            <w:tcW w:w="64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评价企业对重点行业产业链的影响力，主要观察子行业、</w:t>
            </w:r>
            <w:proofErr w:type="gramStart"/>
            <w:r w:rsidRPr="000657BF">
              <w:rPr>
                <w:rFonts w:ascii="宋体" w:eastAsia="宋体" w:hAnsi="宋体" w:cs="宋体" w:hint="eastAsia"/>
                <w:color w:val="000000"/>
                <w:kern w:val="0"/>
                <w:sz w:val="24"/>
                <w:szCs w:val="24"/>
              </w:rPr>
              <w:t>子业务</w:t>
            </w:r>
            <w:proofErr w:type="gramEnd"/>
            <w:r w:rsidRPr="000657BF">
              <w:rPr>
                <w:rFonts w:ascii="宋体" w:eastAsia="宋体" w:hAnsi="宋体" w:cs="宋体" w:hint="eastAsia"/>
                <w:color w:val="000000"/>
                <w:kern w:val="0"/>
                <w:sz w:val="24"/>
                <w:szCs w:val="24"/>
              </w:rPr>
              <w:t>运营水平、竞争能力与排名情况。</w:t>
            </w:r>
          </w:p>
        </w:tc>
      </w:tr>
      <w:tr w:rsidR="000657BF" w:rsidRPr="000657BF" w:rsidTr="000657BF">
        <w:trPr>
          <w:trHeight w:val="330"/>
          <w:tblCellSpacing w:w="15"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657BF" w:rsidRPr="000657BF" w:rsidRDefault="000657BF" w:rsidP="000657BF">
            <w:pPr>
              <w:widowControl/>
              <w:jc w:val="left"/>
              <w:rPr>
                <w:rFonts w:ascii="微软雅黑" w:eastAsia="微软雅黑" w:hAnsi="微软雅黑" w:cs="宋体"/>
                <w:color w:val="000000"/>
                <w:kern w:val="0"/>
                <w:sz w:val="24"/>
                <w:szCs w:val="24"/>
              </w:rPr>
            </w:pPr>
          </w:p>
        </w:tc>
        <w:tc>
          <w:tcPr>
            <w:tcW w:w="1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海外布局(30%)</w:t>
            </w:r>
          </w:p>
        </w:tc>
        <w:tc>
          <w:tcPr>
            <w:tcW w:w="64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评价企业国际化业务能力，主要观察海外业务网点数量、海外收入占比等。</w:t>
            </w:r>
          </w:p>
        </w:tc>
      </w:tr>
      <w:tr w:rsidR="000657BF" w:rsidRPr="000657BF" w:rsidTr="000657BF">
        <w:trPr>
          <w:trHeight w:val="330"/>
          <w:tblCellSpacing w:w="15"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657BF" w:rsidRPr="000657BF" w:rsidRDefault="000657BF" w:rsidP="000657BF">
            <w:pPr>
              <w:widowControl/>
              <w:jc w:val="left"/>
              <w:rPr>
                <w:rFonts w:ascii="微软雅黑" w:eastAsia="微软雅黑" w:hAnsi="微软雅黑" w:cs="宋体"/>
                <w:color w:val="000000"/>
                <w:kern w:val="0"/>
                <w:sz w:val="24"/>
                <w:szCs w:val="24"/>
              </w:rPr>
            </w:pPr>
          </w:p>
        </w:tc>
        <w:tc>
          <w:tcPr>
            <w:tcW w:w="1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主业聚焦(20%)</w:t>
            </w:r>
          </w:p>
        </w:tc>
        <w:tc>
          <w:tcPr>
            <w:tcW w:w="64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评价企业资源使用与经营聚焦情况，主要观察业务分散度、主营业务聚集度等。</w:t>
            </w:r>
          </w:p>
        </w:tc>
      </w:tr>
      <w:tr w:rsidR="000657BF" w:rsidRPr="000657BF" w:rsidTr="000657BF">
        <w:trPr>
          <w:trHeight w:val="330"/>
          <w:tblCellSpacing w:w="15" w:type="dxa"/>
        </w:trPr>
        <w:tc>
          <w:tcPr>
            <w:tcW w:w="148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lastRenderedPageBreak/>
              <w:t>ESG表现</w:t>
            </w:r>
          </w:p>
        </w:tc>
        <w:tc>
          <w:tcPr>
            <w:tcW w:w="1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环境(30%)</w:t>
            </w:r>
          </w:p>
        </w:tc>
        <w:tc>
          <w:tcPr>
            <w:tcW w:w="64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评估企业生产对生态环境的影响，是否做到环境友好、资源保护、绿色转型等，主要观察</w:t>
            </w:r>
            <w:proofErr w:type="gramStart"/>
            <w:r w:rsidRPr="000657BF">
              <w:rPr>
                <w:rFonts w:ascii="宋体" w:eastAsia="宋体" w:hAnsi="宋体" w:cs="宋体" w:hint="eastAsia"/>
                <w:color w:val="000000"/>
                <w:kern w:val="0"/>
                <w:sz w:val="24"/>
                <w:szCs w:val="24"/>
              </w:rPr>
              <w:t>企业碳排情况</w:t>
            </w:r>
            <w:proofErr w:type="gramEnd"/>
            <w:r w:rsidRPr="000657BF">
              <w:rPr>
                <w:rFonts w:ascii="宋体" w:eastAsia="宋体" w:hAnsi="宋体" w:cs="宋体" w:hint="eastAsia"/>
                <w:color w:val="000000"/>
                <w:kern w:val="0"/>
                <w:sz w:val="24"/>
                <w:szCs w:val="24"/>
              </w:rPr>
              <w:t>、节能减排费用、环境保护与生态恢复费用等。</w:t>
            </w:r>
          </w:p>
        </w:tc>
      </w:tr>
      <w:tr w:rsidR="000657BF" w:rsidRPr="000657BF" w:rsidTr="000657BF">
        <w:trPr>
          <w:trHeight w:val="330"/>
          <w:tblCellSpacing w:w="15"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657BF" w:rsidRPr="000657BF" w:rsidRDefault="000657BF" w:rsidP="000657BF">
            <w:pPr>
              <w:widowControl/>
              <w:jc w:val="left"/>
              <w:rPr>
                <w:rFonts w:ascii="微软雅黑" w:eastAsia="微软雅黑" w:hAnsi="微软雅黑" w:cs="宋体"/>
                <w:color w:val="000000"/>
                <w:kern w:val="0"/>
                <w:sz w:val="24"/>
                <w:szCs w:val="24"/>
              </w:rPr>
            </w:pPr>
          </w:p>
        </w:tc>
        <w:tc>
          <w:tcPr>
            <w:tcW w:w="1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社会责任(30%)</w:t>
            </w:r>
          </w:p>
        </w:tc>
        <w:tc>
          <w:tcPr>
            <w:tcW w:w="64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评估企业对社会除经济效益以外的贡献和影响，主要观察对股东、消费者、员工、政府等主体的责任履行情况。</w:t>
            </w:r>
          </w:p>
        </w:tc>
      </w:tr>
      <w:tr w:rsidR="000657BF" w:rsidRPr="000657BF" w:rsidTr="000657BF">
        <w:trPr>
          <w:trHeight w:val="330"/>
          <w:tblCellSpacing w:w="15"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657BF" w:rsidRPr="000657BF" w:rsidRDefault="000657BF" w:rsidP="000657BF">
            <w:pPr>
              <w:widowControl/>
              <w:jc w:val="left"/>
              <w:rPr>
                <w:rFonts w:ascii="微软雅黑" w:eastAsia="微软雅黑" w:hAnsi="微软雅黑" w:cs="宋体"/>
                <w:color w:val="000000"/>
                <w:kern w:val="0"/>
                <w:sz w:val="24"/>
                <w:szCs w:val="24"/>
              </w:rPr>
            </w:pPr>
          </w:p>
        </w:tc>
        <w:tc>
          <w:tcPr>
            <w:tcW w:w="1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公司治理(40%)</w:t>
            </w:r>
          </w:p>
        </w:tc>
        <w:tc>
          <w:tcPr>
            <w:tcW w:w="64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评估企业现代公司治理框架完善度和治理水平，主要观察是否建立现代公司治理框架、独立董事比例、管理层持股比例、管理层决策质量、信息披露完整性与时效性等。</w:t>
            </w:r>
          </w:p>
        </w:tc>
      </w:tr>
    </w:tbl>
    <w:p w:rsidR="000657BF" w:rsidRPr="000657BF" w:rsidRDefault="000657BF" w:rsidP="000657BF">
      <w:pPr>
        <w:widowControl/>
        <w:shd w:val="clear" w:color="auto" w:fill="FFFFFF"/>
        <w:spacing w:line="400" w:lineRule="atLeast"/>
        <w:ind w:firstLine="480"/>
        <w:rPr>
          <w:rFonts w:ascii="微软雅黑" w:eastAsia="微软雅黑" w:hAnsi="微软雅黑" w:cs="宋体" w:hint="eastAsia"/>
          <w:color w:val="000000"/>
          <w:kern w:val="0"/>
          <w:sz w:val="24"/>
          <w:szCs w:val="24"/>
        </w:rPr>
      </w:pPr>
      <w:r w:rsidRPr="000657BF">
        <w:rPr>
          <w:rFonts w:ascii="黑体" w:eastAsia="黑体" w:hAnsi="黑体" w:cs="宋体" w:hint="eastAsia"/>
          <w:color w:val="000000"/>
          <w:kern w:val="0"/>
          <w:sz w:val="24"/>
          <w:szCs w:val="24"/>
        </w:rPr>
        <w:t>三、</w:t>
      </w:r>
      <w:r w:rsidRPr="000657BF">
        <w:rPr>
          <w:rFonts w:ascii="宋体" w:eastAsia="宋体" w:hAnsi="宋体" w:cs="宋体" w:hint="eastAsia"/>
          <w:color w:val="000000"/>
          <w:kern w:val="0"/>
          <w:sz w:val="24"/>
          <w:szCs w:val="24"/>
        </w:rPr>
        <w:t>行业分类与评估方法</w:t>
      </w:r>
    </w:p>
    <w:p w:rsidR="000657BF" w:rsidRPr="000657BF" w:rsidRDefault="000657BF" w:rsidP="000657BF">
      <w:pPr>
        <w:widowControl/>
        <w:shd w:val="clear" w:color="auto" w:fill="FFFFFF"/>
        <w:spacing w:line="400" w:lineRule="atLeast"/>
        <w:ind w:firstLine="482"/>
        <w:jc w:val="left"/>
        <w:rPr>
          <w:rFonts w:ascii="微软雅黑" w:eastAsia="微软雅黑" w:hAnsi="微软雅黑" w:cs="宋体" w:hint="eastAsia"/>
          <w:color w:val="000000"/>
          <w:kern w:val="0"/>
          <w:sz w:val="24"/>
          <w:szCs w:val="24"/>
        </w:rPr>
      </w:pPr>
      <w:r w:rsidRPr="000657BF">
        <w:rPr>
          <w:rFonts w:ascii="宋体" w:eastAsia="宋体" w:hAnsi="宋体" w:cs="宋体" w:hint="eastAsia"/>
          <w:b/>
          <w:bCs/>
          <w:color w:val="000000"/>
          <w:kern w:val="0"/>
          <w:sz w:val="24"/>
          <w:szCs w:val="24"/>
        </w:rPr>
        <w:t>（一）行业分类</w:t>
      </w:r>
    </w:p>
    <w:p w:rsidR="000657BF" w:rsidRPr="000657BF" w:rsidRDefault="000657BF" w:rsidP="000657BF">
      <w:pPr>
        <w:widowControl/>
        <w:shd w:val="clear" w:color="auto" w:fill="FFFFFF"/>
        <w:spacing w:line="400" w:lineRule="atLeast"/>
        <w:ind w:firstLine="480"/>
        <w:jc w:val="left"/>
        <w:rPr>
          <w:rFonts w:ascii="微软雅黑" w:eastAsia="微软雅黑" w:hAnsi="微软雅黑" w:cs="宋体" w:hint="eastAsia"/>
          <w:color w:val="000000"/>
          <w:kern w:val="0"/>
          <w:sz w:val="24"/>
          <w:szCs w:val="24"/>
        </w:rPr>
      </w:pPr>
      <w:r w:rsidRPr="000657BF">
        <w:rPr>
          <w:rFonts w:ascii="宋体" w:eastAsia="宋体" w:hAnsi="宋体" w:cs="宋体" w:hint="eastAsia"/>
          <w:color w:val="000000"/>
          <w:kern w:val="0"/>
          <w:sz w:val="24"/>
          <w:szCs w:val="24"/>
        </w:rPr>
        <w:t>结合中</w:t>
      </w:r>
      <w:proofErr w:type="gramStart"/>
      <w:r w:rsidRPr="000657BF">
        <w:rPr>
          <w:rFonts w:ascii="宋体" w:eastAsia="宋体" w:hAnsi="宋体" w:cs="宋体" w:hint="eastAsia"/>
          <w:color w:val="000000"/>
          <w:kern w:val="0"/>
          <w:sz w:val="24"/>
          <w:szCs w:val="24"/>
        </w:rPr>
        <w:t>证行业</w:t>
      </w:r>
      <w:proofErr w:type="gramEnd"/>
      <w:r w:rsidRPr="000657BF">
        <w:rPr>
          <w:rFonts w:ascii="宋体" w:eastAsia="宋体" w:hAnsi="宋体" w:cs="宋体" w:hint="eastAsia"/>
          <w:color w:val="000000"/>
          <w:kern w:val="0"/>
          <w:sz w:val="24"/>
          <w:szCs w:val="24"/>
        </w:rPr>
        <w:t>划分标准以及市属国企行业分布、主业目录，本指引纳入9个大类行业，分别为工业、消费、房地产与建筑、金融、公用事业、原材料、生物医药、信息技术、其他服务业，具体涉及20个细分行业（表3）。</w:t>
      </w:r>
    </w:p>
    <w:p w:rsidR="000657BF" w:rsidRPr="000657BF" w:rsidRDefault="000657BF" w:rsidP="000657BF">
      <w:pPr>
        <w:widowControl/>
        <w:shd w:val="clear" w:color="auto" w:fill="FFFFFF"/>
        <w:spacing w:line="400" w:lineRule="atLeast"/>
        <w:jc w:val="center"/>
        <w:rPr>
          <w:rFonts w:ascii="微软雅黑" w:eastAsia="微软雅黑" w:hAnsi="微软雅黑" w:cs="宋体" w:hint="eastAsia"/>
          <w:color w:val="000000"/>
          <w:kern w:val="0"/>
          <w:sz w:val="24"/>
          <w:szCs w:val="24"/>
        </w:rPr>
      </w:pPr>
      <w:r w:rsidRPr="000657BF">
        <w:rPr>
          <w:rFonts w:ascii="宋体" w:eastAsia="宋体" w:hAnsi="宋体" w:cs="宋体" w:hint="eastAsia"/>
          <w:b/>
          <w:bCs/>
          <w:color w:val="000000"/>
          <w:kern w:val="0"/>
          <w:sz w:val="24"/>
          <w:szCs w:val="24"/>
        </w:rPr>
        <w:t>表3  大类行业与细分行业</w:t>
      </w:r>
    </w:p>
    <w:tbl>
      <w:tblPr>
        <w:tblW w:w="0" w:type="auto"/>
        <w:tblCellSpacing w:w="15" w:type="dxa"/>
        <w:tblInd w:w="135" w:type="dxa"/>
        <w:shd w:val="clear" w:color="auto" w:fill="FFFFFF"/>
        <w:tblCellMar>
          <w:top w:w="15" w:type="dxa"/>
          <w:left w:w="15" w:type="dxa"/>
          <w:bottom w:w="15" w:type="dxa"/>
          <w:right w:w="15" w:type="dxa"/>
        </w:tblCellMar>
        <w:tblLook w:val="04A0"/>
      </w:tblPr>
      <w:tblGrid>
        <w:gridCol w:w="1879"/>
        <w:gridCol w:w="3255"/>
      </w:tblGrid>
      <w:tr w:rsidR="000657BF" w:rsidRPr="000657BF" w:rsidTr="000657BF">
        <w:trPr>
          <w:trHeight w:val="285"/>
          <w:tblCellSpacing w:w="15" w:type="dxa"/>
        </w:trPr>
        <w:tc>
          <w:tcPr>
            <w:tcW w:w="1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行业大类（9）</w:t>
            </w:r>
          </w:p>
        </w:tc>
        <w:tc>
          <w:tcPr>
            <w:tcW w:w="315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细分行业（20）</w:t>
            </w:r>
          </w:p>
        </w:tc>
      </w:tr>
      <w:tr w:rsidR="000657BF" w:rsidRPr="000657BF" w:rsidTr="000657BF">
        <w:trPr>
          <w:trHeight w:val="315"/>
          <w:tblCellSpacing w:w="15" w:type="dxa"/>
        </w:trPr>
        <w:tc>
          <w:tcPr>
            <w:tcW w:w="1800" w:type="pct"/>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工业</w:t>
            </w:r>
          </w:p>
        </w:tc>
        <w:tc>
          <w:tcPr>
            <w:tcW w:w="3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汽车制造</w:t>
            </w:r>
          </w:p>
        </w:tc>
      </w:tr>
      <w:tr w:rsidR="000657BF" w:rsidRPr="000657BF" w:rsidTr="000657BF">
        <w:trPr>
          <w:trHeight w:val="315"/>
          <w:tblCellSpacing w:w="15"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657BF" w:rsidRPr="000657BF" w:rsidRDefault="000657BF" w:rsidP="000657BF">
            <w:pPr>
              <w:widowControl/>
              <w:jc w:val="left"/>
              <w:rPr>
                <w:rFonts w:ascii="微软雅黑" w:eastAsia="微软雅黑" w:hAnsi="微软雅黑" w:cs="宋体"/>
                <w:color w:val="000000"/>
                <w:kern w:val="0"/>
                <w:sz w:val="24"/>
                <w:szCs w:val="24"/>
              </w:rPr>
            </w:pPr>
          </w:p>
        </w:tc>
        <w:tc>
          <w:tcPr>
            <w:tcW w:w="3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电力设备</w:t>
            </w:r>
          </w:p>
        </w:tc>
      </w:tr>
      <w:tr w:rsidR="000657BF" w:rsidRPr="000657BF" w:rsidTr="000657BF">
        <w:trPr>
          <w:trHeight w:val="315"/>
          <w:tblCellSpacing w:w="15"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657BF" w:rsidRPr="000657BF" w:rsidRDefault="000657BF" w:rsidP="000657BF">
            <w:pPr>
              <w:widowControl/>
              <w:jc w:val="left"/>
              <w:rPr>
                <w:rFonts w:ascii="微软雅黑" w:eastAsia="微软雅黑" w:hAnsi="微软雅黑" w:cs="宋体"/>
                <w:color w:val="000000"/>
                <w:kern w:val="0"/>
                <w:sz w:val="24"/>
                <w:szCs w:val="24"/>
              </w:rPr>
            </w:pPr>
          </w:p>
        </w:tc>
        <w:tc>
          <w:tcPr>
            <w:tcW w:w="3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机械制造</w:t>
            </w:r>
          </w:p>
        </w:tc>
      </w:tr>
      <w:tr w:rsidR="000657BF" w:rsidRPr="000657BF" w:rsidTr="000657BF">
        <w:trPr>
          <w:trHeight w:val="315"/>
          <w:tblCellSpacing w:w="15" w:type="dxa"/>
        </w:trPr>
        <w:tc>
          <w:tcPr>
            <w:tcW w:w="1800" w:type="pct"/>
            <w:vMerge w:val="restart"/>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消费</w:t>
            </w:r>
          </w:p>
        </w:tc>
        <w:tc>
          <w:tcPr>
            <w:tcW w:w="3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商贸流通</w:t>
            </w:r>
          </w:p>
        </w:tc>
      </w:tr>
      <w:tr w:rsidR="000657BF" w:rsidRPr="000657BF" w:rsidTr="000657BF">
        <w:trPr>
          <w:trHeight w:val="315"/>
          <w:tblCellSpacing w:w="15" w:type="dxa"/>
        </w:trPr>
        <w:tc>
          <w:tcPr>
            <w:tcW w:w="0" w:type="auto"/>
            <w:vMerge/>
            <w:tcBorders>
              <w:top w:val="nil"/>
              <w:left w:val="single" w:sz="8" w:space="0" w:color="000000"/>
              <w:bottom w:val="nil"/>
              <w:right w:val="single" w:sz="8" w:space="0" w:color="000000"/>
            </w:tcBorders>
            <w:shd w:val="clear" w:color="auto" w:fill="FFFFFF"/>
            <w:vAlign w:val="center"/>
            <w:hideMark/>
          </w:tcPr>
          <w:p w:rsidR="000657BF" w:rsidRPr="000657BF" w:rsidRDefault="000657BF" w:rsidP="000657BF">
            <w:pPr>
              <w:widowControl/>
              <w:jc w:val="left"/>
              <w:rPr>
                <w:rFonts w:ascii="微软雅黑" w:eastAsia="微软雅黑" w:hAnsi="微软雅黑" w:cs="宋体"/>
                <w:color w:val="000000"/>
                <w:kern w:val="0"/>
                <w:sz w:val="24"/>
                <w:szCs w:val="24"/>
              </w:rPr>
            </w:pPr>
          </w:p>
        </w:tc>
        <w:tc>
          <w:tcPr>
            <w:tcW w:w="3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食品饮料</w:t>
            </w:r>
          </w:p>
        </w:tc>
      </w:tr>
      <w:tr w:rsidR="000657BF" w:rsidRPr="000657BF" w:rsidTr="000657BF">
        <w:trPr>
          <w:trHeight w:val="315"/>
          <w:tblCellSpacing w:w="15" w:type="dxa"/>
        </w:trPr>
        <w:tc>
          <w:tcPr>
            <w:tcW w:w="0" w:type="auto"/>
            <w:vMerge/>
            <w:tcBorders>
              <w:top w:val="nil"/>
              <w:left w:val="single" w:sz="8" w:space="0" w:color="000000"/>
              <w:bottom w:val="nil"/>
              <w:right w:val="single" w:sz="8" w:space="0" w:color="000000"/>
            </w:tcBorders>
            <w:shd w:val="clear" w:color="auto" w:fill="FFFFFF"/>
            <w:vAlign w:val="center"/>
            <w:hideMark/>
          </w:tcPr>
          <w:p w:rsidR="000657BF" w:rsidRPr="000657BF" w:rsidRDefault="000657BF" w:rsidP="000657BF">
            <w:pPr>
              <w:widowControl/>
              <w:jc w:val="left"/>
              <w:rPr>
                <w:rFonts w:ascii="微软雅黑" w:eastAsia="微软雅黑" w:hAnsi="微软雅黑" w:cs="宋体"/>
                <w:color w:val="000000"/>
                <w:kern w:val="0"/>
                <w:sz w:val="24"/>
                <w:szCs w:val="24"/>
              </w:rPr>
            </w:pPr>
          </w:p>
        </w:tc>
        <w:tc>
          <w:tcPr>
            <w:tcW w:w="3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纺织服装</w:t>
            </w:r>
          </w:p>
        </w:tc>
      </w:tr>
      <w:tr w:rsidR="000657BF" w:rsidRPr="000657BF" w:rsidTr="000657BF">
        <w:trPr>
          <w:trHeight w:val="315"/>
          <w:tblCellSpacing w:w="15" w:type="dxa"/>
        </w:trPr>
        <w:tc>
          <w:tcPr>
            <w:tcW w:w="0" w:type="auto"/>
            <w:vMerge/>
            <w:tcBorders>
              <w:top w:val="nil"/>
              <w:left w:val="single" w:sz="8" w:space="0" w:color="000000"/>
              <w:bottom w:val="nil"/>
              <w:right w:val="single" w:sz="8" w:space="0" w:color="000000"/>
            </w:tcBorders>
            <w:shd w:val="clear" w:color="auto" w:fill="FFFFFF"/>
            <w:vAlign w:val="center"/>
            <w:hideMark/>
          </w:tcPr>
          <w:p w:rsidR="000657BF" w:rsidRPr="000657BF" w:rsidRDefault="000657BF" w:rsidP="000657BF">
            <w:pPr>
              <w:widowControl/>
              <w:jc w:val="left"/>
              <w:rPr>
                <w:rFonts w:ascii="微软雅黑" w:eastAsia="微软雅黑" w:hAnsi="微软雅黑" w:cs="宋体"/>
                <w:color w:val="000000"/>
                <w:kern w:val="0"/>
                <w:sz w:val="24"/>
                <w:szCs w:val="24"/>
              </w:rPr>
            </w:pPr>
          </w:p>
        </w:tc>
        <w:tc>
          <w:tcPr>
            <w:tcW w:w="3150" w:type="pct"/>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消费者服务</w:t>
            </w:r>
          </w:p>
        </w:tc>
      </w:tr>
      <w:tr w:rsidR="000657BF" w:rsidRPr="000657BF" w:rsidTr="000657BF">
        <w:trPr>
          <w:trHeight w:val="315"/>
          <w:tblCellSpacing w:w="15" w:type="dxa"/>
        </w:trPr>
        <w:tc>
          <w:tcPr>
            <w:tcW w:w="1800" w:type="pct"/>
            <w:vMerge w:val="restar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房地产与建筑</w:t>
            </w:r>
          </w:p>
        </w:tc>
        <w:tc>
          <w:tcPr>
            <w:tcW w:w="3150" w:type="pct"/>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房地产开发与园区</w:t>
            </w:r>
          </w:p>
        </w:tc>
      </w:tr>
      <w:tr w:rsidR="000657BF" w:rsidRPr="000657BF" w:rsidTr="000657BF">
        <w:trPr>
          <w:trHeight w:val="315"/>
          <w:tblCellSpacing w:w="15" w:type="dxa"/>
        </w:trPr>
        <w:tc>
          <w:tcPr>
            <w:tcW w:w="0" w:type="auto"/>
            <w:vMerge/>
            <w:tcBorders>
              <w:top w:val="nil"/>
              <w:left w:val="single" w:sz="8" w:space="0" w:color="auto"/>
              <w:bottom w:val="single" w:sz="8" w:space="0" w:color="auto"/>
              <w:right w:val="single" w:sz="8" w:space="0" w:color="000000"/>
            </w:tcBorders>
            <w:shd w:val="clear" w:color="auto" w:fill="FFFFFF"/>
            <w:vAlign w:val="center"/>
            <w:hideMark/>
          </w:tcPr>
          <w:p w:rsidR="000657BF" w:rsidRPr="000657BF" w:rsidRDefault="000657BF" w:rsidP="000657BF">
            <w:pPr>
              <w:widowControl/>
              <w:jc w:val="left"/>
              <w:rPr>
                <w:rFonts w:ascii="微软雅黑" w:eastAsia="微软雅黑" w:hAnsi="微软雅黑" w:cs="宋体"/>
                <w:color w:val="000000"/>
                <w:kern w:val="0"/>
                <w:sz w:val="24"/>
                <w:szCs w:val="24"/>
              </w:rPr>
            </w:pPr>
          </w:p>
        </w:tc>
        <w:tc>
          <w:tcPr>
            <w:tcW w:w="3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建筑装饰</w:t>
            </w:r>
          </w:p>
        </w:tc>
      </w:tr>
      <w:tr w:rsidR="000657BF" w:rsidRPr="000657BF" w:rsidTr="000657BF">
        <w:trPr>
          <w:trHeight w:val="315"/>
          <w:tblCellSpacing w:w="15" w:type="dxa"/>
        </w:trPr>
        <w:tc>
          <w:tcPr>
            <w:tcW w:w="1800" w:type="pct"/>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金融</w:t>
            </w:r>
          </w:p>
        </w:tc>
        <w:tc>
          <w:tcPr>
            <w:tcW w:w="3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银行</w:t>
            </w:r>
          </w:p>
        </w:tc>
      </w:tr>
      <w:tr w:rsidR="000657BF" w:rsidRPr="000657BF" w:rsidTr="000657BF">
        <w:trPr>
          <w:trHeight w:val="315"/>
          <w:tblCellSpacing w:w="15"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657BF" w:rsidRPr="000657BF" w:rsidRDefault="000657BF" w:rsidP="000657BF">
            <w:pPr>
              <w:widowControl/>
              <w:jc w:val="left"/>
              <w:rPr>
                <w:rFonts w:ascii="微软雅黑" w:eastAsia="微软雅黑" w:hAnsi="微软雅黑" w:cs="宋体"/>
                <w:color w:val="000000"/>
                <w:kern w:val="0"/>
                <w:sz w:val="24"/>
                <w:szCs w:val="24"/>
              </w:rPr>
            </w:pPr>
          </w:p>
        </w:tc>
        <w:tc>
          <w:tcPr>
            <w:tcW w:w="3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保险</w:t>
            </w:r>
          </w:p>
        </w:tc>
      </w:tr>
      <w:tr w:rsidR="000657BF" w:rsidRPr="000657BF" w:rsidTr="000657BF">
        <w:trPr>
          <w:trHeight w:val="315"/>
          <w:tblCellSpacing w:w="15"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0657BF" w:rsidRPr="000657BF" w:rsidRDefault="000657BF" w:rsidP="000657BF">
            <w:pPr>
              <w:widowControl/>
              <w:jc w:val="left"/>
              <w:rPr>
                <w:rFonts w:ascii="微软雅黑" w:eastAsia="微软雅黑" w:hAnsi="微软雅黑" w:cs="宋体"/>
                <w:color w:val="000000"/>
                <w:kern w:val="0"/>
                <w:sz w:val="24"/>
                <w:szCs w:val="24"/>
              </w:rPr>
            </w:pPr>
          </w:p>
        </w:tc>
        <w:tc>
          <w:tcPr>
            <w:tcW w:w="3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证券</w:t>
            </w:r>
          </w:p>
        </w:tc>
      </w:tr>
      <w:tr w:rsidR="000657BF" w:rsidRPr="000657BF" w:rsidTr="000657BF">
        <w:trPr>
          <w:trHeight w:val="285"/>
          <w:tblCellSpacing w:w="15" w:type="dxa"/>
        </w:trPr>
        <w:tc>
          <w:tcPr>
            <w:tcW w:w="1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公用事业</w:t>
            </w:r>
          </w:p>
        </w:tc>
        <w:tc>
          <w:tcPr>
            <w:tcW w:w="3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燃气电力与水务</w:t>
            </w:r>
          </w:p>
        </w:tc>
      </w:tr>
      <w:tr w:rsidR="000657BF" w:rsidRPr="000657BF" w:rsidTr="000657BF">
        <w:trPr>
          <w:trHeight w:val="285"/>
          <w:tblCellSpacing w:w="15" w:type="dxa"/>
        </w:trPr>
        <w:tc>
          <w:tcPr>
            <w:tcW w:w="1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原材料</w:t>
            </w:r>
          </w:p>
        </w:tc>
        <w:tc>
          <w:tcPr>
            <w:tcW w:w="3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化工</w:t>
            </w:r>
          </w:p>
        </w:tc>
      </w:tr>
      <w:tr w:rsidR="000657BF" w:rsidRPr="000657BF" w:rsidTr="000657BF">
        <w:trPr>
          <w:trHeight w:val="315"/>
          <w:tblCellSpacing w:w="15" w:type="dxa"/>
        </w:trPr>
        <w:tc>
          <w:tcPr>
            <w:tcW w:w="1800" w:type="pct"/>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lastRenderedPageBreak/>
              <w:t>生物医药</w:t>
            </w:r>
          </w:p>
        </w:tc>
        <w:tc>
          <w:tcPr>
            <w:tcW w:w="3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医药制造</w:t>
            </w:r>
          </w:p>
        </w:tc>
      </w:tr>
      <w:tr w:rsidR="000657BF" w:rsidRPr="000657BF" w:rsidTr="000657BF">
        <w:trPr>
          <w:trHeight w:val="315"/>
          <w:tblCellSpacing w:w="15" w:type="dxa"/>
        </w:trPr>
        <w:tc>
          <w:tcPr>
            <w:tcW w:w="1800"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信息技术</w:t>
            </w:r>
          </w:p>
        </w:tc>
        <w:tc>
          <w:tcPr>
            <w:tcW w:w="3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电子</w:t>
            </w:r>
          </w:p>
        </w:tc>
      </w:tr>
      <w:tr w:rsidR="000657BF" w:rsidRPr="000657BF" w:rsidTr="000657BF">
        <w:trPr>
          <w:trHeight w:val="315"/>
          <w:tblCellSpacing w:w="15" w:type="dxa"/>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57BF" w:rsidRPr="000657BF" w:rsidRDefault="000657BF" w:rsidP="000657BF">
            <w:pPr>
              <w:widowControl/>
              <w:jc w:val="left"/>
              <w:rPr>
                <w:rFonts w:ascii="微软雅黑" w:eastAsia="微软雅黑" w:hAnsi="微软雅黑" w:cs="宋体"/>
                <w:color w:val="000000"/>
                <w:kern w:val="0"/>
                <w:sz w:val="24"/>
                <w:szCs w:val="24"/>
              </w:rPr>
            </w:pPr>
          </w:p>
        </w:tc>
        <w:tc>
          <w:tcPr>
            <w:tcW w:w="3150" w:type="pct"/>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计算机</w:t>
            </w:r>
          </w:p>
        </w:tc>
      </w:tr>
      <w:tr w:rsidR="000657BF" w:rsidRPr="000657BF" w:rsidTr="000657BF">
        <w:trPr>
          <w:trHeight w:val="315"/>
          <w:tblCellSpacing w:w="15" w:type="dxa"/>
        </w:trPr>
        <w:tc>
          <w:tcPr>
            <w:tcW w:w="1800" w:type="pct"/>
            <w:vMerge w:val="restar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其他服务业</w:t>
            </w: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交通运输</w:t>
            </w:r>
          </w:p>
        </w:tc>
      </w:tr>
      <w:tr w:rsidR="000657BF" w:rsidRPr="000657BF" w:rsidTr="000657BF">
        <w:trPr>
          <w:trHeight w:val="315"/>
          <w:tblCellSpacing w:w="15" w:type="dxa"/>
        </w:trPr>
        <w:tc>
          <w:tcPr>
            <w:tcW w:w="0" w:type="auto"/>
            <w:vMerge/>
            <w:tcBorders>
              <w:top w:val="nil"/>
              <w:left w:val="single" w:sz="8" w:space="0" w:color="auto"/>
              <w:bottom w:val="single" w:sz="8" w:space="0" w:color="auto"/>
              <w:right w:val="single" w:sz="8" w:space="0" w:color="000000"/>
            </w:tcBorders>
            <w:shd w:val="clear" w:color="auto" w:fill="FFFFFF"/>
            <w:vAlign w:val="center"/>
            <w:hideMark/>
          </w:tcPr>
          <w:p w:rsidR="000657BF" w:rsidRPr="000657BF" w:rsidRDefault="000657BF" w:rsidP="000657BF">
            <w:pPr>
              <w:widowControl/>
              <w:jc w:val="left"/>
              <w:rPr>
                <w:rFonts w:ascii="微软雅黑" w:eastAsia="微软雅黑" w:hAnsi="微软雅黑" w:cs="宋体"/>
                <w:color w:val="000000"/>
                <w:kern w:val="0"/>
                <w:sz w:val="24"/>
                <w:szCs w:val="24"/>
              </w:rPr>
            </w:pPr>
          </w:p>
        </w:tc>
        <w:tc>
          <w:tcPr>
            <w:tcW w:w="3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环保</w:t>
            </w:r>
          </w:p>
        </w:tc>
      </w:tr>
      <w:tr w:rsidR="000657BF" w:rsidRPr="000657BF" w:rsidTr="000657BF">
        <w:trPr>
          <w:trHeight w:val="315"/>
          <w:tblCellSpacing w:w="15" w:type="dxa"/>
        </w:trPr>
        <w:tc>
          <w:tcPr>
            <w:tcW w:w="0" w:type="auto"/>
            <w:vMerge/>
            <w:tcBorders>
              <w:top w:val="nil"/>
              <w:left w:val="single" w:sz="8" w:space="0" w:color="auto"/>
              <w:bottom w:val="single" w:sz="8" w:space="0" w:color="auto"/>
              <w:right w:val="single" w:sz="8" w:space="0" w:color="000000"/>
            </w:tcBorders>
            <w:shd w:val="clear" w:color="auto" w:fill="FFFFFF"/>
            <w:vAlign w:val="center"/>
            <w:hideMark/>
          </w:tcPr>
          <w:p w:rsidR="000657BF" w:rsidRPr="000657BF" w:rsidRDefault="000657BF" w:rsidP="000657BF">
            <w:pPr>
              <w:widowControl/>
              <w:jc w:val="left"/>
              <w:rPr>
                <w:rFonts w:ascii="微软雅黑" w:eastAsia="微软雅黑" w:hAnsi="微软雅黑" w:cs="宋体"/>
                <w:color w:val="000000"/>
                <w:kern w:val="0"/>
                <w:sz w:val="24"/>
                <w:szCs w:val="24"/>
              </w:rPr>
            </w:pPr>
          </w:p>
        </w:tc>
        <w:tc>
          <w:tcPr>
            <w:tcW w:w="3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检验检测</w:t>
            </w:r>
          </w:p>
        </w:tc>
      </w:tr>
    </w:tbl>
    <w:p w:rsidR="000657BF" w:rsidRPr="000657BF" w:rsidRDefault="000657BF" w:rsidP="000657BF">
      <w:pPr>
        <w:widowControl/>
        <w:shd w:val="clear" w:color="auto" w:fill="FFFFFF"/>
        <w:spacing w:line="400" w:lineRule="atLeast"/>
        <w:jc w:val="left"/>
        <w:rPr>
          <w:rFonts w:ascii="微软雅黑" w:eastAsia="微软雅黑" w:hAnsi="微软雅黑" w:cs="宋体" w:hint="eastAsia"/>
          <w:color w:val="000000"/>
          <w:kern w:val="0"/>
          <w:sz w:val="24"/>
          <w:szCs w:val="24"/>
        </w:rPr>
      </w:pPr>
      <w:r w:rsidRPr="000657BF">
        <w:rPr>
          <w:rFonts w:ascii="宋体" w:eastAsia="宋体" w:hAnsi="宋体" w:cs="宋体" w:hint="eastAsia"/>
          <w:color w:val="000000"/>
          <w:kern w:val="0"/>
          <w:sz w:val="24"/>
          <w:szCs w:val="24"/>
        </w:rPr>
        <w:t>注：部分企业所涉行业未纳入当前行业分类，企业可参照已有指标体系自行设定相关行业指标。</w:t>
      </w:r>
    </w:p>
    <w:p w:rsidR="000657BF" w:rsidRPr="000657BF" w:rsidRDefault="000657BF" w:rsidP="000657BF">
      <w:pPr>
        <w:widowControl/>
        <w:shd w:val="clear" w:color="auto" w:fill="FFFFFF"/>
        <w:spacing w:line="400" w:lineRule="atLeast"/>
        <w:ind w:firstLine="480"/>
        <w:jc w:val="left"/>
        <w:rPr>
          <w:rFonts w:ascii="微软雅黑" w:eastAsia="微软雅黑" w:hAnsi="微软雅黑" w:cs="宋体" w:hint="eastAsia"/>
          <w:color w:val="000000"/>
          <w:kern w:val="0"/>
          <w:sz w:val="24"/>
          <w:szCs w:val="24"/>
        </w:rPr>
      </w:pPr>
      <w:r w:rsidRPr="000657BF">
        <w:rPr>
          <w:rFonts w:ascii="宋体" w:eastAsia="宋体" w:hAnsi="宋体" w:cs="宋体" w:hint="eastAsia"/>
          <w:color w:val="000000"/>
          <w:kern w:val="0"/>
          <w:sz w:val="24"/>
          <w:szCs w:val="24"/>
        </w:rPr>
        <w:t>围绕9个大类行业，各构成要素的权重设置侧重点不同，其中工业、原材料、消费行业、其他服务业强调各项能力均衡，信息技术、生物医药突出科技创新能力，房地产与建筑、金融、公用事业突出战略管控能力（表4）。</w:t>
      </w:r>
    </w:p>
    <w:p w:rsidR="000657BF" w:rsidRPr="000657BF" w:rsidRDefault="000657BF" w:rsidP="000657BF">
      <w:pPr>
        <w:widowControl/>
        <w:shd w:val="clear" w:color="auto" w:fill="FFFFFF"/>
        <w:spacing w:line="400" w:lineRule="atLeast"/>
        <w:jc w:val="center"/>
        <w:rPr>
          <w:rFonts w:ascii="微软雅黑" w:eastAsia="微软雅黑" w:hAnsi="微软雅黑" w:cs="宋体" w:hint="eastAsia"/>
          <w:color w:val="000000"/>
          <w:kern w:val="0"/>
          <w:sz w:val="24"/>
          <w:szCs w:val="24"/>
        </w:rPr>
      </w:pPr>
      <w:r w:rsidRPr="000657BF">
        <w:rPr>
          <w:rFonts w:ascii="宋体" w:eastAsia="宋体" w:hAnsi="宋体" w:cs="宋体" w:hint="eastAsia"/>
          <w:b/>
          <w:bCs/>
          <w:color w:val="000000"/>
          <w:kern w:val="0"/>
          <w:sz w:val="24"/>
          <w:szCs w:val="24"/>
        </w:rPr>
        <w:t>表4 不同大类行业企业核心竞争力构成要素权重</w:t>
      </w:r>
    </w:p>
    <w:tbl>
      <w:tblPr>
        <w:tblW w:w="0" w:type="auto"/>
        <w:tblCellSpacing w:w="15" w:type="dxa"/>
        <w:shd w:val="clear" w:color="auto" w:fill="FFFFFF"/>
        <w:tblCellMar>
          <w:top w:w="15" w:type="dxa"/>
          <w:left w:w="15" w:type="dxa"/>
          <w:bottom w:w="15" w:type="dxa"/>
          <w:right w:w="15" w:type="dxa"/>
        </w:tblCellMar>
        <w:tblLook w:val="04A0"/>
      </w:tblPr>
      <w:tblGrid>
        <w:gridCol w:w="1366"/>
        <w:gridCol w:w="2716"/>
        <w:gridCol w:w="1789"/>
        <w:gridCol w:w="2751"/>
      </w:tblGrid>
      <w:tr w:rsidR="000657BF" w:rsidRPr="000657BF" w:rsidTr="000657BF">
        <w:trPr>
          <w:trHeight w:val="567"/>
          <w:tblCellSpacing w:w="15" w:type="dxa"/>
        </w:trPr>
        <w:tc>
          <w:tcPr>
            <w:tcW w:w="13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 </w:t>
            </w:r>
          </w:p>
        </w:tc>
        <w:tc>
          <w:tcPr>
            <w:tcW w:w="28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工业、原材料、消费、其他服务业</w:t>
            </w:r>
          </w:p>
        </w:tc>
        <w:tc>
          <w:tcPr>
            <w:tcW w:w="18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信息技术、生物医药</w:t>
            </w:r>
          </w:p>
        </w:tc>
        <w:tc>
          <w:tcPr>
            <w:tcW w:w="28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金融、房地产与建筑、公用事业</w:t>
            </w:r>
          </w:p>
        </w:tc>
      </w:tr>
      <w:tr w:rsidR="000657BF" w:rsidRPr="000657BF" w:rsidTr="000657BF">
        <w:trPr>
          <w:trHeight w:val="567"/>
          <w:tblCellSpacing w:w="15" w:type="dxa"/>
        </w:trPr>
        <w:tc>
          <w:tcPr>
            <w:tcW w:w="13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价值创造能力</w:t>
            </w:r>
          </w:p>
        </w:tc>
        <w:tc>
          <w:tcPr>
            <w:tcW w:w="28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20%</w:t>
            </w:r>
          </w:p>
        </w:tc>
        <w:tc>
          <w:tcPr>
            <w:tcW w:w="1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10%</w:t>
            </w:r>
          </w:p>
        </w:tc>
        <w:tc>
          <w:tcPr>
            <w:tcW w:w="2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20%</w:t>
            </w:r>
          </w:p>
        </w:tc>
      </w:tr>
      <w:tr w:rsidR="000657BF" w:rsidRPr="000657BF" w:rsidTr="000657BF">
        <w:trPr>
          <w:trHeight w:val="567"/>
          <w:tblCellSpacing w:w="15" w:type="dxa"/>
        </w:trPr>
        <w:tc>
          <w:tcPr>
            <w:tcW w:w="13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科技创新能力</w:t>
            </w:r>
          </w:p>
        </w:tc>
        <w:tc>
          <w:tcPr>
            <w:tcW w:w="28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30%</w:t>
            </w:r>
          </w:p>
        </w:tc>
        <w:tc>
          <w:tcPr>
            <w:tcW w:w="1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40%</w:t>
            </w:r>
          </w:p>
        </w:tc>
        <w:tc>
          <w:tcPr>
            <w:tcW w:w="2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20%</w:t>
            </w:r>
          </w:p>
        </w:tc>
      </w:tr>
      <w:tr w:rsidR="000657BF" w:rsidRPr="000657BF" w:rsidTr="000657BF">
        <w:trPr>
          <w:trHeight w:val="567"/>
          <w:tblCellSpacing w:w="15" w:type="dxa"/>
        </w:trPr>
        <w:tc>
          <w:tcPr>
            <w:tcW w:w="13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战略管控能力</w:t>
            </w:r>
          </w:p>
        </w:tc>
        <w:tc>
          <w:tcPr>
            <w:tcW w:w="28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20%</w:t>
            </w:r>
          </w:p>
        </w:tc>
        <w:tc>
          <w:tcPr>
            <w:tcW w:w="1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20%</w:t>
            </w:r>
          </w:p>
        </w:tc>
        <w:tc>
          <w:tcPr>
            <w:tcW w:w="2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30%</w:t>
            </w:r>
          </w:p>
        </w:tc>
      </w:tr>
      <w:tr w:rsidR="000657BF" w:rsidRPr="000657BF" w:rsidTr="000657BF">
        <w:trPr>
          <w:trHeight w:val="567"/>
          <w:tblCellSpacing w:w="15" w:type="dxa"/>
        </w:trPr>
        <w:tc>
          <w:tcPr>
            <w:tcW w:w="13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产业影响能力</w:t>
            </w:r>
          </w:p>
        </w:tc>
        <w:tc>
          <w:tcPr>
            <w:tcW w:w="28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20%</w:t>
            </w:r>
          </w:p>
        </w:tc>
        <w:tc>
          <w:tcPr>
            <w:tcW w:w="1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20%</w:t>
            </w:r>
          </w:p>
        </w:tc>
        <w:tc>
          <w:tcPr>
            <w:tcW w:w="2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20%</w:t>
            </w:r>
          </w:p>
        </w:tc>
      </w:tr>
      <w:tr w:rsidR="000657BF" w:rsidRPr="000657BF" w:rsidTr="000657BF">
        <w:trPr>
          <w:trHeight w:val="567"/>
          <w:tblCellSpacing w:w="15" w:type="dxa"/>
        </w:trPr>
        <w:tc>
          <w:tcPr>
            <w:tcW w:w="13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ESG表现</w:t>
            </w:r>
          </w:p>
        </w:tc>
        <w:tc>
          <w:tcPr>
            <w:tcW w:w="28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10%</w:t>
            </w:r>
          </w:p>
        </w:tc>
        <w:tc>
          <w:tcPr>
            <w:tcW w:w="1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10%</w:t>
            </w:r>
          </w:p>
        </w:tc>
        <w:tc>
          <w:tcPr>
            <w:tcW w:w="2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657BF" w:rsidRPr="000657BF" w:rsidRDefault="000657BF" w:rsidP="000657BF">
            <w:pPr>
              <w:widowControl/>
              <w:spacing w:line="400" w:lineRule="atLeast"/>
              <w:jc w:val="center"/>
              <w:rPr>
                <w:rFonts w:ascii="微软雅黑" w:eastAsia="微软雅黑" w:hAnsi="微软雅黑" w:cs="宋体"/>
                <w:color w:val="000000"/>
                <w:kern w:val="0"/>
                <w:sz w:val="24"/>
                <w:szCs w:val="24"/>
              </w:rPr>
            </w:pPr>
            <w:r w:rsidRPr="000657BF">
              <w:rPr>
                <w:rFonts w:ascii="宋体" w:eastAsia="宋体" w:hAnsi="宋体" w:cs="宋体" w:hint="eastAsia"/>
                <w:color w:val="000000"/>
                <w:kern w:val="0"/>
                <w:sz w:val="24"/>
                <w:szCs w:val="24"/>
              </w:rPr>
              <w:t>10%</w:t>
            </w:r>
          </w:p>
        </w:tc>
      </w:tr>
    </w:tbl>
    <w:p w:rsidR="000657BF" w:rsidRPr="000657BF" w:rsidRDefault="000657BF" w:rsidP="000657BF">
      <w:pPr>
        <w:widowControl/>
        <w:shd w:val="clear" w:color="auto" w:fill="FFFFFF"/>
        <w:spacing w:line="400" w:lineRule="atLeast"/>
        <w:jc w:val="left"/>
        <w:rPr>
          <w:rFonts w:ascii="微软雅黑" w:eastAsia="微软雅黑" w:hAnsi="微软雅黑" w:cs="宋体" w:hint="eastAsia"/>
          <w:color w:val="000000"/>
          <w:kern w:val="0"/>
          <w:sz w:val="24"/>
          <w:szCs w:val="24"/>
        </w:rPr>
      </w:pPr>
      <w:r w:rsidRPr="000657BF">
        <w:rPr>
          <w:rFonts w:ascii="宋体" w:eastAsia="宋体" w:hAnsi="宋体" w:cs="宋体" w:hint="eastAsia"/>
          <w:color w:val="000000"/>
          <w:kern w:val="0"/>
          <w:sz w:val="24"/>
          <w:szCs w:val="24"/>
        </w:rPr>
        <w:t>注：行业内企业可依据细分行业特性、企业生命周期等在权重参考标准上下浮动10%进行自主调整。</w:t>
      </w:r>
    </w:p>
    <w:p w:rsidR="000657BF" w:rsidRPr="000657BF" w:rsidRDefault="000657BF" w:rsidP="000657BF">
      <w:pPr>
        <w:widowControl/>
        <w:shd w:val="clear" w:color="auto" w:fill="FFFFFF"/>
        <w:spacing w:line="400" w:lineRule="atLeast"/>
        <w:ind w:firstLine="480"/>
        <w:jc w:val="left"/>
        <w:rPr>
          <w:rFonts w:ascii="微软雅黑" w:eastAsia="微软雅黑" w:hAnsi="微软雅黑" w:cs="宋体" w:hint="eastAsia"/>
          <w:color w:val="000000"/>
          <w:kern w:val="0"/>
          <w:sz w:val="24"/>
          <w:szCs w:val="24"/>
        </w:rPr>
      </w:pPr>
      <w:r w:rsidRPr="000657BF">
        <w:rPr>
          <w:rFonts w:ascii="宋体" w:eastAsia="宋体" w:hAnsi="宋体" w:cs="宋体" w:hint="eastAsia"/>
          <w:color w:val="000000"/>
          <w:kern w:val="0"/>
          <w:sz w:val="24"/>
          <w:szCs w:val="24"/>
        </w:rPr>
        <w:t>最终，按照行业划分，结合结果性指标和过程性指标的总体框架，共形成20套细分行业指标体系。</w:t>
      </w:r>
    </w:p>
    <w:p w:rsidR="000657BF" w:rsidRPr="000657BF" w:rsidRDefault="000657BF" w:rsidP="000657BF">
      <w:pPr>
        <w:widowControl/>
        <w:shd w:val="clear" w:color="auto" w:fill="FFFFFF"/>
        <w:spacing w:line="400" w:lineRule="atLeast"/>
        <w:jc w:val="left"/>
        <w:rPr>
          <w:rFonts w:ascii="微软雅黑" w:eastAsia="微软雅黑" w:hAnsi="微软雅黑" w:cs="宋体" w:hint="eastAsia"/>
          <w:color w:val="000000"/>
          <w:kern w:val="0"/>
          <w:sz w:val="24"/>
          <w:szCs w:val="24"/>
        </w:rPr>
      </w:pPr>
      <w:r w:rsidRPr="000657BF">
        <w:rPr>
          <w:rFonts w:ascii="宋体" w:eastAsia="宋体" w:hAnsi="宋体" w:cs="宋体" w:hint="eastAsia"/>
          <w:b/>
          <w:bCs/>
          <w:color w:val="000000"/>
          <w:kern w:val="0"/>
          <w:sz w:val="24"/>
          <w:szCs w:val="24"/>
        </w:rPr>
        <w:t>（二）评估方法</w:t>
      </w:r>
    </w:p>
    <w:p w:rsidR="000657BF" w:rsidRPr="000657BF" w:rsidRDefault="000657BF" w:rsidP="000657BF">
      <w:pPr>
        <w:widowControl/>
        <w:shd w:val="clear" w:color="auto" w:fill="FFFFFF"/>
        <w:spacing w:line="400" w:lineRule="atLeast"/>
        <w:ind w:firstLine="482"/>
        <w:rPr>
          <w:rFonts w:ascii="微软雅黑" w:eastAsia="微软雅黑" w:hAnsi="微软雅黑" w:cs="宋体" w:hint="eastAsia"/>
          <w:color w:val="000000"/>
          <w:kern w:val="0"/>
          <w:sz w:val="24"/>
          <w:szCs w:val="24"/>
        </w:rPr>
      </w:pPr>
      <w:r w:rsidRPr="000657BF">
        <w:rPr>
          <w:rFonts w:ascii="宋体" w:eastAsia="宋体" w:hAnsi="宋体" w:cs="宋体" w:hint="eastAsia"/>
          <w:b/>
          <w:bCs/>
          <w:color w:val="000000"/>
          <w:kern w:val="0"/>
          <w:sz w:val="24"/>
          <w:szCs w:val="24"/>
        </w:rPr>
        <w:t>指标赋权</w:t>
      </w:r>
      <w:r w:rsidRPr="000657BF">
        <w:rPr>
          <w:rFonts w:ascii="宋体" w:eastAsia="宋体" w:hAnsi="宋体" w:cs="宋体" w:hint="eastAsia"/>
          <w:color w:val="000000"/>
          <w:kern w:val="0"/>
          <w:sz w:val="24"/>
          <w:szCs w:val="24"/>
        </w:rPr>
        <w:t>。各级指标均采用层次分析法（AHP）进行科学赋权。其中，二级指标及权重具备调整自由度，依据不同行业企业，通过专家和企业协商后从指标库中选取指标并设定权重，进行调整。</w:t>
      </w:r>
    </w:p>
    <w:p w:rsidR="000657BF" w:rsidRPr="000657BF" w:rsidRDefault="000657BF" w:rsidP="000657BF">
      <w:pPr>
        <w:widowControl/>
        <w:shd w:val="clear" w:color="auto" w:fill="FFFFFF"/>
        <w:spacing w:line="400" w:lineRule="atLeast"/>
        <w:ind w:firstLine="482"/>
        <w:jc w:val="left"/>
        <w:rPr>
          <w:rFonts w:ascii="微软雅黑" w:eastAsia="微软雅黑" w:hAnsi="微软雅黑" w:cs="宋体" w:hint="eastAsia"/>
          <w:color w:val="000000"/>
          <w:kern w:val="0"/>
          <w:sz w:val="24"/>
          <w:szCs w:val="24"/>
        </w:rPr>
      </w:pPr>
      <w:r w:rsidRPr="000657BF">
        <w:rPr>
          <w:rFonts w:ascii="宋体" w:eastAsia="宋体" w:hAnsi="宋体" w:cs="宋体" w:hint="eastAsia"/>
          <w:b/>
          <w:bCs/>
          <w:color w:val="000000"/>
          <w:kern w:val="0"/>
          <w:sz w:val="24"/>
          <w:szCs w:val="24"/>
        </w:rPr>
        <w:lastRenderedPageBreak/>
        <w:t>对标标准。</w:t>
      </w:r>
      <w:r w:rsidRPr="000657BF">
        <w:rPr>
          <w:rFonts w:ascii="宋体" w:eastAsia="宋体" w:hAnsi="宋体" w:cs="宋体" w:hint="eastAsia"/>
          <w:color w:val="000000"/>
          <w:kern w:val="0"/>
          <w:sz w:val="24"/>
          <w:szCs w:val="24"/>
        </w:rPr>
        <w:t>核心竞争力评价均需进行横向、纵向对标分析。横向对比采用两类标准，一类采用上市公司行业平均水平作为参照，一类采用世界一流企业对标标准；纵向对比，需选取企业特定时期历史数据。</w:t>
      </w:r>
    </w:p>
    <w:p w:rsidR="000657BF" w:rsidRPr="000657BF" w:rsidRDefault="000657BF" w:rsidP="000657BF">
      <w:pPr>
        <w:widowControl/>
        <w:shd w:val="clear" w:color="auto" w:fill="FFFFFF"/>
        <w:spacing w:line="400" w:lineRule="atLeast"/>
        <w:ind w:firstLine="482"/>
        <w:rPr>
          <w:rFonts w:ascii="微软雅黑" w:eastAsia="微软雅黑" w:hAnsi="微软雅黑" w:cs="宋体" w:hint="eastAsia"/>
          <w:color w:val="000000"/>
          <w:kern w:val="0"/>
          <w:sz w:val="24"/>
          <w:szCs w:val="24"/>
        </w:rPr>
      </w:pPr>
      <w:r w:rsidRPr="000657BF">
        <w:rPr>
          <w:rFonts w:ascii="宋体" w:eastAsia="宋体" w:hAnsi="宋体" w:cs="宋体" w:hint="eastAsia"/>
          <w:b/>
          <w:bCs/>
          <w:color w:val="000000"/>
          <w:kern w:val="0"/>
          <w:sz w:val="24"/>
          <w:szCs w:val="24"/>
        </w:rPr>
        <w:t>打分规则</w:t>
      </w:r>
      <w:r w:rsidRPr="000657BF">
        <w:rPr>
          <w:rFonts w:ascii="宋体" w:eastAsia="宋体" w:hAnsi="宋体" w:cs="宋体" w:hint="eastAsia"/>
          <w:color w:val="000000"/>
          <w:kern w:val="0"/>
          <w:sz w:val="24"/>
          <w:szCs w:val="24"/>
        </w:rPr>
        <w:t>。采用</w:t>
      </w:r>
      <w:proofErr w:type="gramStart"/>
      <w:r w:rsidRPr="000657BF">
        <w:rPr>
          <w:rFonts w:ascii="宋体" w:eastAsia="宋体" w:hAnsi="宋体" w:cs="宋体" w:hint="eastAsia"/>
          <w:color w:val="000000"/>
          <w:kern w:val="0"/>
          <w:sz w:val="24"/>
          <w:szCs w:val="24"/>
        </w:rPr>
        <w:t>比值赋分方式</w:t>
      </w:r>
      <w:proofErr w:type="gramEnd"/>
      <w:r w:rsidRPr="000657BF">
        <w:rPr>
          <w:rFonts w:ascii="宋体" w:eastAsia="宋体" w:hAnsi="宋体" w:cs="宋体" w:hint="eastAsia"/>
          <w:color w:val="000000"/>
          <w:kern w:val="0"/>
          <w:sz w:val="24"/>
          <w:szCs w:val="24"/>
        </w:rPr>
        <w:t>，由企业自身数据与行业平均、头部企业或自身历史水平的相应比值（例如，企业自身/行业平均=X），对应得到不同区间分数。其中，正向与负向指标以及部分指标的打分区间和对应分数可进行标准化调整。</w:t>
      </w:r>
    </w:p>
    <w:p w:rsidR="000657BF" w:rsidRPr="000657BF" w:rsidRDefault="000657BF" w:rsidP="000657BF">
      <w:pPr>
        <w:widowControl/>
        <w:shd w:val="clear" w:color="auto" w:fill="FFFFFF"/>
        <w:spacing w:line="400" w:lineRule="atLeast"/>
        <w:jc w:val="center"/>
        <w:rPr>
          <w:rFonts w:ascii="微软雅黑" w:eastAsia="微软雅黑" w:hAnsi="微软雅黑" w:cs="宋体" w:hint="eastAsia"/>
          <w:color w:val="000000"/>
          <w:kern w:val="0"/>
          <w:sz w:val="24"/>
          <w:szCs w:val="24"/>
        </w:rPr>
      </w:pPr>
      <w:r w:rsidRPr="000657BF">
        <w:rPr>
          <w:rFonts w:ascii="宋体" w:eastAsia="宋体" w:hAnsi="宋体" w:cs="宋体" w:hint="eastAsia"/>
          <w:b/>
          <w:bCs/>
          <w:color w:val="000000"/>
          <w:kern w:val="0"/>
          <w:sz w:val="24"/>
          <w:szCs w:val="24"/>
        </w:rPr>
        <w:t>表5 打分规则范例</w:t>
      </w:r>
    </w:p>
    <w:tbl>
      <w:tblPr>
        <w:tblW w:w="7228" w:type="dxa"/>
        <w:tblCellSpacing w:w="15" w:type="dxa"/>
        <w:tblCellMar>
          <w:top w:w="15" w:type="dxa"/>
          <w:left w:w="15" w:type="dxa"/>
          <w:bottom w:w="15" w:type="dxa"/>
          <w:right w:w="15" w:type="dxa"/>
        </w:tblCellMar>
        <w:tblLook w:val="04A0"/>
      </w:tblPr>
      <w:tblGrid>
        <w:gridCol w:w="978"/>
        <w:gridCol w:w="1054"/>
        <w:gridCol w:w="1304"/>
        <w:gridCol w:w="1246"/>
        <w:gridCol w:w="1486"/>
        <w:gridCol w:w="1160"/>
      </w:tblGrid>
      <w:tr w:rsidR="000657BF" w:rsidRPr="000657BF" w:rsidTr="000657BF">
        <w:trPr>
          <w:trHeight w:val="567"/>
          <w:tblCellSpacing w:w="15" w:type="dxa"/>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宋体" w:eastAsia="宋体" w:hAnsi="宋体" w:cs="宋体"/>
                <w:kern w:val="0"/>
                <w:sz w:val="24"/>
                <w:szCs w:val="24"/>
              </w:rPr>
            </w:pPr>
            <w:r w:rsidRPr="000657BF">
              <w:rPr>
                <w:rFonts w:ascii="宋体" w:eastAsia="宋体" w:hAnsi="宋体" w:cs="宋体" w:hint="eastAsia"/>
                <w:kern w:val="0"/>
                <w:sz w:val="24"/>
                <w:szCs w:val="24"/>
              </w:rPr>
              <w:t>等级</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宋体" w:eastAsia="宋体" w:hAnsi="宋体" w:cs="宋体"/>
                <w:kern w:val="0"/>
                <w:sz w:val="24"/>
                <w:szCs w:val="24"/>
              </w:rPr>
            </w:pPr>
            <w:r w:rsidRPr="000657BF">
              <w:rPr>
                <w:rFonts w:ascii="宋体" w:eastAsia="宋体" w:hAnsi="宋体" w:cs="宋体" w:hint="eastAsia"/>
                <w:kern w:val="0"/>
                <w:sz w:val="24"/>
                <w:szCs w:val="24"/>
              </w:rPr>
              <w:t>1</w:t>
            </w:r>
          </w:p>
        </w:tc>
        <w:tc>
          <w:tcPr>
            <w:tcW w:w="12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宋体" w:eastAsia="宋体" w:hAnsi="宋体" w:cs="宋体"/>
                <w:kern w:val="0"/>
                <w:sz w:val="24"/>
                <w:szCs w:val="24"/>
              </w:rPr>
            </w:pPr>
            <w:r w:rsidRPr="000657BF">
              <w:rPr>
                <w:rFonts w:ascii="宋体" w:eastAsia="宋体" w:hAnsi="宋体" w:cs="宋体" w:hint="eastAsia"/>
                <w:kern w:val="0"/>
                <w:sz w:val="24"/>
                <w:szCs w:val="24"/>
              </w:rPr>
              <w:t>2</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宋体" w:eastAsia="宋体" w:hAnsi="宋体" w:cs="宋体"/>
                <w:kern w:val="0"/>
                <w:sz w:val="24"/>
                <w:szCs w:val="24"/>
              </w:rPr>
            </w:pPr>
            <w:r w:rsidRPr="000657BF">
              <w:rPr>
                <w:rFonts w:ascii="宋体" w:eastAsia="宋体" w:hAnsi="宋体" w:cs="宋体" w:hint="eastAsia"/>
                <w:kern w:val="0"/>
                <w:sz w:val="24"/>
                <w:szCs w:val="24"/>
              </w:rPr>
              <w:t>3</w:t>
            </w:r>
          </w:p>
        </w:tc>
        <w:tc>
          <w:tcPr>
            <w:tcW w:w="13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宋体" w:eastAsia="宋体" w:hAnsi="宋体" w:cs="宋体"/>
                <w:kern w:val="0"/>
                <w:sz w:val="24"/>
                <w:szCs w:val="24"/>
              </w:rPr>
            </w:pPr>
            <w:r w:rsidRPr="000657BF">
              <w:rPr>
                <w:rFonts w:ascii="宋体" w:eastAsia="宋体" w:hAnsi="宋体" w:cs="宋体" w:hint="eastAsia"/>
                <w:kern w:val="0"/>
                <w:sz w:val="24"/>
                <w:szCs w:val="24"/>
              </w:rPr>
              <w:t>4</w:t>
            </w:r>
          </w:p>
        </w:tc>
        <w:tc>
          <w:tcPr>
            <w:tcW w:w="11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宋体" w:eastAsia="宋体" w:hAnsi="宋体" w:cs="宋体"/>
                <w:kern w:val="0"/>
                <w:sz w:val="24"/>
                <w:szCs w:val="24"/>
              </w:rPr>
            </w:pPr>
            <w:r w:rsidRPr="000657BF">
              <w:rPr>
                <w:rFonts w:ascii="宋体" w:eastAsia="宋体" w:hAnsi="宋体" w:cs="宋体" w:hint="eastAsia"/>
                <w:kern w:val="0"/>
                <w:sz w:val="24"/>
                <w:szCs w:val="24"/>
              </w:rPr>
              <w:t>5</w:t>
            </w:r>
          </w:p>
        </w:tc>
      </w:tr>
      <w:tr w:rsidR="000657BF" w:rsidRPr="000657BF" w:rsidTr="000657BF">
        <w:trPr>
          <w:trHeight w:val="567"/>
          <w:tblCellSpacing w:w="15" w:type="dxa"/>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宋体" w:eastAsia="宋体" w:hAnsi="宋体" w:cs="宋体"/>
                <w:kern w:val="0"/>
                <w:sz w:val="24"/>
                <w:szCs w:val="24"/>
              </w:rPr>
            </w:pPr>
            <w:r w:rsidRPr="000657BF">
              <w:rPr>
                <w:rFonts w:ascii="宋体" w:eastAsia="宋体" w:hAnsi="宋体" w:cs="宋体" w:hint="eastAsia"/>
                <w:kern w:val="0"/>
                <w:sz w:val="24"/>
                <w:szCs w:val="24"/>
              </w:rPr>
              <w:t>分值</w:t>
            </w:r>
          </w:p>
        </w:tc>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宋体" w:eastAsia="宋体" w:hAnsi="宋体" w:cs="宋体"/>
                <w:kern w:val="0"/>
                <w:sz w:val="24"/>
                <w:szCs w:val="24"/>
              </w:rPr>
            </w:pPr>
            <w:r w:rsidRPr="000657BF">
              <w:rPr>
                <w:rFonts w:ascii="宋体" w:eastAsia="宋体" w:hAnsi="宋体" w:cs="宋体" w:hint="eastAsia"/>
                <w:kern w:val="0"/>
                <w:sz w:val="24"/>
                <w:szCs w:val="24"/>
              </w:rPr>
              <w:t>20</w:t>
            </w:r>
          </w:p>
        </w:tc>
        <w:tc>
          <w:tcPr>
            <w:tcW w:w="1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宋体" w:eastAsia="宋体" w:hAnsi="宋体" w:cs="宋体"/>
                <w:kern w:val="0"/>
                <w:sz w:val="24"/>
                <w:szCs w:val="24"/>
              </w:rPr>
            </w:pPr>
            <w:r w:rsidRPr="000657BF">
              <w:rPr>
                <w:rFonts w:ascii="宋体" w:eastAsia="宋体" w:hAnsi="宋体" w:cs="宋体" w:hint="eastAsia"/>
                <w:kern w:val="0"/>
                <w:sz w:val="24"/>
                <w:szCs w:val="24"/>
              </w:rPr>
              <w:t>40</w:t>
            </w:r>
          </w:p>
        </w:tc>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宋体" w:eastAsia="宋体" w:hAnsi="宋体" w:cs="宋体"/>
                <w:kern w:val="0"/>
                <w:sz w:val="24"/>
                <w:szCs w:val="24"/>
              </w:rPr>
            </w:pPr>
            <w:r w:rsidRPr="000657BF">
              <w:rPr>
                <w:rFonts w:ascii="宋体" w:eastAsia="宋体" w:hAnsi="宋体" w:cs="宋体" w:hint="eastAsia"/>
                <w:kern w:val="0"/>
                <w:sz w:val="24"/>
                <w:szCs w:val="24"/>
              </w:rPr>
              <w:t>60</w:t>
            </w:r>
          </w:p>
        </w:tc>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宋体" w:eastAsia="宋体" w:hAnsi="宋体" w:cs="宋体"/>
                <w:kern w:val="0"/>
                <w:sz w:val="24"/>
                <w:szCs w:val="24"/>
              </w:rPr>
            </w:pPr>
            <w:r w:rsidRPr="000657BF">
              <w:rPr>
                <w:rFonts w:ascii="宋体" w:eastAsia="宋体" w:hAnsi="宋体" w:cs="宋体" w:hint="eastAsia"/>
                <w:kern w:val="0"/>
                <w:sz w:val="24"/>
                <w:szCs w:val="24"/>
              </w:rPr>
              <w:t>80</w:t>
            </w:r>
          </w:p>
        </w:tc>
        <w:tc>
          <w:tcPr>
            <w:tcW w:w="1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宋体" w:eastAsia="宋体" w:hAnsi="宋体" w:cs="宋体"/>
                <w:kern w:val="0"/>
                <w:sz w:val="24"/>
                <w:szCs w:val="24"/>
              </w:rPr>
            </w:pPr>
            <w:r w:rsidRPr="000657BF">
              <w:rPr>
                <w:rFonts w:ascii="宋体" w:eastAsia="宋体" w:hAnsi="宋体" w:cs="宋体" w:hint="eastAsia"/>
                <w:kern w:val="0"/>
                <w:sz w:val="24"/>
                <w:szCs w:val="24"/>
              </w:rPr>
              <w:t>100</w:t>
            </w:r>
          </w:p>
        </w:tc>
      </w:tr>
      <w:tr w:rsidR="000657BF" w:rsidRPr="000657BF" w:rsidTr="000657BF">
        <w:trPr>
          <w:trHeight w:val="567"/>
          <w:tblCellSpacing w:w="15" w:type="dxa"/>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宋体" w:eastAsia="宋体" w:hAnsi="宋体" w:cs="宋体"/>
                <w:kern w:val="0"/>
                <w:sz w:val="24"/>
                <w:szCs w:val="24"/>
              </w:rPr>
            </w:pPr>
            <w:r w:rsidRPr="000657BF">
              <w:rPr>
                <w:rFonts w:ascii="宋体" w:eastAsia="宋体" w:hAnsi="宋体" w:cs="宋体" w:hint="eastAsia"/>
                <w:kern w:val="0"/>
                <w:sz w:val="24"/>
                <w:szCs w:val="24"/>
              </w:rPr>
              <w:t>标准</w:t>
            </w:r>
          </w:p>
        </w:tc>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宋体" w:eastAsia="宋体" w:hAnsi="宋体" w:cs="宋体"/>
                <w:kern w:val="0"/>
                <w:sz w:val="24"/>
                <w:szCs w:val="24"/>
              </w:rPr>
            </w:pPr>
            <w:r w:rsidRPr="000657BF">
              <w:rPr>
                <w:rFonts w:ascii="宋体" w:eastAsia="宋体" w:hAnsi="宋体" w:cs="宋体" w:hint="eastAsia"/>
                <w:kern w:val="0"/>
                <w:sz w:val="24"/>
                <w:szCs w:val="24"/>
              </w:rPr>
              <w:t>X&lt;0.8</w:t>
            </w:r>
          </w:p>
        </w:tc>
        <w:tc>
          <w:tcPr>
            <w:tcW w:w="1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宋体" w:eastAsia="宋体" w:hAnsi="宋体" w:cs="宋体"/>
                <w:kern w:val="0"/>
                <w:sz w:val="24"/>
                <w:szCs w:val="24"/>
              </w:rPr>
            </w:pPr>
            <w:r w:rsidRPr="000657BF">
              <w:rPr>
                <w:rFonts w:ascii="宋体" w:eastAsia="宋体" w:hAnsi="宋体" w:cs="宋体" w:hint="eastAsia"/>
                <w:kern w:val="0"/>
                <w:sz w:val="24"/>
                <w:szCs w:val="24"/>
              </w:rPr>
              <w:t>0.8&lt;=X&lt;1</w:t>
            </w:r>
          </w:p>
        </w:tc>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宋体" w:eastAsia="宋体" w:hAnsi="宋体" w:cs="宋体"/>
                <w:kern w:val="0"/>
                <w:sz w:val="24"/>
                <w:szCs w:val="24"/>
              </w:rPr>
            </w:pPr>
            <w:r w:rsidRPr="000657BF">
              <w:rPr>
                <w:rFonts w:ascii="宋体" w:eastAsia="宋体" w:hAnsi="宋体" w:cs="宋体" w:hint="eastAsia"/>
                <w:kern w:val="0"/>
                <w:sz w:val="24"/>
                <w:szCs w:val="24"/>
              </w:rPr>
              <w:t>1&lt;=X&lt;1.1</w:t>
            </w:r>
          </w:p>
        </w:tc>
        <w:tc>
          <w:tcPr>
            <w:tcW w:w="1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宋体" w:eastAsia="宋体" w:hAnsi="宋体" w:cs="宋体"/>
                <w:kern w:val="0"/>
                <w:sz w:val="24"/>
                <w:szCs w:val="24"/>
              </w:rPr>
            </w:pPr>
            <w:r w:rsidRPr="000657BF">
              <w:rPr>
                <w:rFonts w:ascii="宋体" w:eastAsia="宋体" w:hAnsi="宋体" w:cs="宋体" w:hint="eastAsia"/>
                <w:kern w:val="0"/>
                <w:sz w:val="24"/>
                <w:szCs w:val="24"/>
              </w:rPr>
              <w:t>1.1&lt;=X&lt;1.2</w:t>
            </w:r>
          </w:p>
        </w:tc>
        <w:tc>
          <w:tcPr>
            <w:tcW w:w="1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57BF" w:rsidRPr="000657BF" w:rsidRDefault="000657BF" w:rsidP="000657BF">
            <w:pPr>
              <w:widowControl/>
              <w:spacing w:line="400" w:lineRule="atLeast"/>
              <w:jc w:val="center"/>
              <w:textAlignment w:val="center"/>
              <w:rPr>
                <w:rFonts w:ascii="宋体" w:eastAsia="宋体" w:hAnsi="宋体" w:cs="宋体"/>
                <w:kern w:val="0"/>
                <w:sz w:val="24"/>
                <w:szCs w:val="24"/>
              </w:rPr>
            </w:pPr>
            <w:r w:rsidRPr="000657BF">
              <w:rPr>
                <w:rFonts w:ascii="宋体" w:eastAsia="宋体" w:hAnsi="宋体" w:cs="宋体" w:hint="eastAsia"/>
                <w:kern w:val="0"/>
                <w:sz w:val="24"/>
                <w:szCs w:val="24"/>
              </w:rPr>
              <w:t>X&gt;=1.2</w:t>
            </w:r>
          </w:p>
        </w:tc>
      </w:tr>
    </w:tbl>
    <w:p w:rsidR="000657BF" w:rsidRPr="000657BF" w:rsidRDefault="000657BF" w:rsidP="000657BF">
      <w:pPr>
        <w:widowControl/>
        <w:shd w:val="clear" w:color="auto" w:fill="FFFFFF"/>
        <w:spacing w:line="400" w:lineRule="atLeast"/>
        <w:ind w:firstLine="482"/>
        <w:rPr>
          <w:rFonts w:ascii="微软雅黑" w:eastAsia="微软雅黑" w:hAnsi="微软雅黑" w:cs="宋体" w:hint="eastAsia"/>
          <w:color w:val="000000"/>
          <w:kern w:val="0"/>
          <w:sz w:val="24"/>
          <w:szCs w:val="24"/>
        </w:rPr>
      </w:pPr>
      <w:r w:rsidRPr="000657BF">
        <w:rPr>
          <w:rFonts w:ascii="宋体" w:eastAsia="宋体" w:hAnsi="宋体" w:cs="宋体" w:hint="eastAsia"/>
          <w:b/>
          <w:bCs/>
          <w:color w:val="000000"/>
          <w:kern w:val="0"/>
          <w:sz w:val="24"/>
          <w:szCs w:val="24"/>
        </w:rPr>
        <w:t>分数计算</w:t>
      </w:r>
      <w:r w:rsidRPr="000657BF">
        <w:rPr>
          <w:rFonts w:ascii="宋体" w:eastAsia="宋体" w:hAnsi="宋体" w:cs="宋体" w:hint="eastAsia"/>
          <w:color w:val="000000"/>
          <w:kern w:val="0"/>
          <w:sz w:val="24"/>
          <w:szCs w:val="24"/>
        </w:rPr>
        <w:t>。各分项分数确定后，通过一级、二级指标加权方式计入总分。其中，结果性指标最终得分=财务表现*50%+行业地位*30%+品牌价值*20%。过程性指标最终得分=价值创造能力*权重+科技创新能力*权重+战略管控能力*权重+产业影响能力*权重+ESG表现*权重。对于业务较为复杂的企业集团，集团总体核心竞争力通过对不同子企业得分加权确定，其中权重可参照子公司营收占比，也可依据战略规划导向由委</w:t>
      </w:r>
      <w:proofErr w:type="gramStart"/>
      <w:r w:rsidRPr="000657BF">
        <w:rPr>
          <w:rFonts w:ascii="宋体" w:eastAsia="宋体" w:hAnsi="宋体" w:cs="宋体" w:hint="eastAsia"/>
          <w:color w:val="000000"/>
          <w:kern w:val="0"/>
          <w:sz w:val="24"/>
          <w:szCs w:val="24"/>
        </w:rPr>
        <w:t>内专家</w:t>
      </w:r>
      <w:proofErr w:type="gramEnd"/>
      <w:r w:rsidRPr="000657BF">
        <w:rPr>
          <w:rFonts w:ascii="宋体" w:eastAsia="宋体" w:hAnsi="宋体" w:cs="宋体" w:hint="eastAsia"/>
          <w:color w:val="000000"/>
          <w:kern w:val="0"/>
          <w:sz w:val="24"/>
          <w:szCs w:val="24"/>
        </w:rPr>
        <w:t>设立。</w:t>
      </w:r>
    </w:p>
    <w:p w:rsidR="009E7EE4" w:rsidRPr="000657BF" w:rsidRDefault="009E7EE4"/>
    <w:sectPr w:rsidR="009E7EE4" w:rsidRPr="000657BF" w:rsidSect="006510D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657BF"/>
    <w:rsid w:val="000657BF"/>
    <w:rsid w:val="00097E80"/>
    <w:rsid w:val="006510DE"/>
    <w:rsid w:val="009E7EE4"/>
    <w:rsid w:val="00FB4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0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57B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657BF"/>
    <w:rPr>
      <w:b/>
      <w:bCs/>
    </w:rPr>
  </w:style>
</w:styles>
</file>

<file path=word/webSettings.xml><?xml version="1.0" encoding="utf-8"?>
<w:webSettings xmlns:r="http://schemas.openxmlformats.org/officeDocument/2006/relationships" xmlns:w="http://schemas.openxmlformats.org/wordprocessingml/2006/main">
  <w:divs>
    <w:div w:id="1265916535">
      <w:bodyDiv w:val="1"/>
      <w:marLeft w:val="0"/>
      <w:marRight w:val="0"/>
      <w:marTop w:val="0"/>
      <w:marBottom w:val="0"/>
      <w:divBdr>
        <w:top w:val="none" w:sz="0" w:space="0" w:color="auto"/>
        <w:left w:val="none" w:sz="0" w:space="0" w:color="auto"/>
        <w:bottom w:val="none" w:sz="0" w:space="0" w:color="auto"/>
        <w:right w:val="none" w:sz="0" w:space="0" w:color="auto"/>
      </w:divBdr>
      <w:divsChild>
        <w:div w:id="1258252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622</Words>
  <Characters>3547</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wex</dc:creator>
  <cp:lastModifiedBy>wex</cp:lastModifiedBy>
  <cp:revision>1</cp:revision>
  <dcterms:created xsi:type="dcterms:W3CDTF">2025-04-17T14:19:00Z</dcterms:created>
  <dcterms:modified xsi:type="dcterms:W3CDTF">2025-04-17T14:21:00Z</dcterms:modified>
</cp:coreProperties>
</file>